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pStyle w:val="Style_1"/>
        <w:widowControl w:val="1"/>
        <w:numPr>
          <w:numId w:val="1"/>
        </w:numPr>
        <w:tabs>
          <w:tab w:leader="none" w:pos="708" w:val="left"/>
        </w:tabs>
        <w:spacing w:after="0" w:before="0"/>
        <w:ind w:firstLine="0" w:left="6237" w:right="-3"/>
        <w:rPr>
          <w:rFonts w:ascii="PT Astra Serif" w:hAnsi="PT Astra Serif"/>
          <w:sz w:val="24"/>
        </w:rPr>
      </w:pPr>
      <w:r>
        <w:rPr>
          <w:rFonts w:ascii="PT Astra Serif" w:hAnsi="PT Astra Serif"/>
          <w:i w:val="0"/>
          <w:sz w:val="24"/>
        </w:rPr>
        <w:t>Утверждена</w:t>
      </w:r>
    </w:p>
    <w:p w14:paraId="02000000">
      <w:pPr>
        <w:pStyle w:val="Style_2"/>
        <w:widowControl w:val="0"/>
        <w:tabs>
          <w:tab w:leader="none" w:pos="9639" w:val="left"/>
        </w:tabs>
        <w:ind w:left="6237" w:right="0"/>
        <w:jc w:val="left"/>
        <w:rPr>
          <w:rFonts w:ascii="PT Astra Serif" w:hAnsi="PT Astra Serif"/>
          <w:color w:val="000000"/>
          <w:sz w:val="24"/>
        </w:rPr>
      </w:pPr>
      <w:r>
        <w:rPr>
          <w:rFonts w:ascii="PT Astra Serif" w:hAnsi="PT Astra Serif"/>
          <w:sz w:val="24"/>
        </w:rPr>
        <w:t>решением</w:t>
      </w:r>
      <w:r>
        <w:rPr>
          <w:rFonts w:ascii="PT Astra Serif" w:hAnsi="PT Astra Serif"/>
          <w:sz w:val="24"/>
        </w:rPr>
        <w:t xml:space="preserve"> </w:t>
      </w:r>
      <w:r>
        <w:rPr>
          <w:rFonts w:ascii="PT Astra Serif" w:hAnsi="PT Astra Serif"/>
          <w:sz w:val="24"/>
        </w:rPr>
        <w:t>Министерства градостроительной политики, имущественных и земельных отношений Курской области</w:t>
      </w:r>
    </w:p>
    <w:p w14:paraId="03000000">
      <w:pPr>
        <w:pStyle w:val="Style_2"/>
        <w:widowControl w:val="0"/>
        <w:tabs>
          <w:tab w:leader="none" w:pos="9639" w:val="left"/>
        </w:tabs>
        <w:ind w:left="6237" w:right="0"/>
        <w:jc w:val="left"/>
        <w:rPr>
          <w:rFonts w:ascii="PT Astra Serif" w:hAnsi="PT Astra Serif"/>
          <w:color w:val="C9211E"/>
          <w:sz w:val="24"/>
        </w:rPr>
      </w:pPr>
      <w:r>
        <w:rPr>
          <w:rFonts w:ascii="PT Astra Serif" w:hAnsi="PT Astra Serif"/>
          <w:color w:val="000000"/>
          <w:sz w:val="24"/>
        </w:rPr>
        <w:t xml:space="preserve">от </w:t>
      </w:r>
      <w:r>
        <w:rPr>
          <w:rFonts w:ascii="PT Astra Serif" w:hAnsi="PT Astra Serif"/>
          <w:color w:val="000000"/>
          <w:sz w:val="24"/>
        </w:rPr>
        <w:t xml:space="preserve">27.07.2026 г. </w:t>
      </w:r>
      <w:r>
        <w:rPr>
          <w:rFonts w:ascii="PT Astra Serif" w:hAnsi="PT Astra Serif"/>
          <w:color w:val="000000"/>
          <w:sz w:val="24"/>
        </w:rPr>
        <w:t xml:space="preserve">№ </w:t>
      </w:r>
      <w:r>
        <w:rPr>
          <w:rFonts w:ascii="PT Astra Serif" w:hAnsi="PT Astra Serif"/>
          <w:color w:val="000000"/>
          <w:sz w:val="24"/>
        </w:rPr>
        <w:t>01.01-02/585</w:t>
      </w:r>
    </w:p>
    <w:p w14:paraId="04000000">
      <w:pPr>
        <w:pStyle w:val="Style_2"/>
        <w:widowControl w:val="0"/>
        <w:tabs>
          <w:tab w:leader="none" w:pos="9639" w:val="left"/>
        </w:tabs>
        <w:ind w:left="6237" w:right="0"/>
        <w:jc w:val="left"/>
        <w:rPr>
          <w:color w:val="C9211E"/>
        </w:rPr>
      </w:pPr>
    </w:p>
    <w:p w14:paraId="05000000">
      <w:pPr>
        <w:pStyle w:val="Style_3"/>
        <w:widowControl w:val="1"/>
        <w:ind/>
        <w:jc w:val="center"/>
        <w:rPr>
          <w:rFonts w:ascii="Times New Roman" w:hAnsi="Times New Roman"/>
          <w:b w:val="1"/>
          <w:color w:val="000000"/>
          <w:sz w:val="26"/>
        </w:rPr>
      </w:pPr>
    </w:p>
    <w:p w14:paraId="06000000">
      <w:pPr>
        <w:pStyle w:val="Style_3"/>
        <w:widowControl w:val="1"/>
        <w:ind/>
        <w:jc w:val="center"/>
        <w:rPr>
          <w:rFonts w:ascii="PT Astra Serif" w:hAnsi="PT Astra Serif"/>
          <w:b w:val="1"/>
          <w:color w:val="000000"/>
          <w:sz w:val="24"/>
        </w:rPr>
      </w:pPr>
      <w:r>
        <w:rPr>
          <w:rFonts w:ascii="PT Astra Serif" w:hAnsi="PT Astra Serif"/>
          <w:b w:val="1"/>
          <w:color w:val="000000"/>
          <w:sz w:val="24"/>
        </w:rPr>
        <w:t xml:space="preserve">ДОКУМЕНТАЦИЯ  ОБ  АУКЦИОНЕ № </w:t>
      </w:r>
    </w:p>
    <w:p w14:paraId="07000000">
      <w:pPr>
        <w:pStyle w:val="Style_3"/>
        <w:widowControl w:val="1"/>
        <w:spacing w:after="0" w:before="0" w:line="240" w:lineRule="auto"/>
        <w:ind/>
        <w:jc w:val="center"/>
        <w:rPr>
          <w:rFonts w:ascii="PT Astra Serif" w:hAnsi="PT Astra Serif"/>
          <w:b w:val="1"/>
          <w:color w:val="000000"/>
          <w:sz w:val="24"/>
        </w:rPr>
      </w:pPr>
      <w:r>
        <w:rPr>
          <w:rFonts w:ascii="PT Astra Serif" w:hAnsi="PT Astra Serif"/>
          <w:b w:val="1"/>
          <w:color w:val="000000"/>
          <w:sz w:val="24"/>
        </w:rPr>
        <w:t xml:space="preserve">в электронной форме на право заключения договора </w:t>
      </w:r>
    </w:p>
    <w:p w14:paraId="08000000">
      <w:pPr>
        <w:pStyle w:val="Style_3"/>
        <w:widowControl w:val="1"/>
        <w:spacing w:after="0" w:before="0" w:line="240" w:lineRule="auto"/>
        <w:ind/>
        <w:jc w:val="center"/>
        <w:rPr>
          <w:rFonts w:ascii="PT Astra Serif" w:hAnsi="PT Astra Serif"/>
          <w:b w:val="1"/>
          <w:color w:val="000000"/>
          <w:sz w:val="24"/>
        </w:rPr>
      </w:pPr>
      <w:r>
        <w:rPr>
          <w:rFonts w:ascii="PT Astra Serif" w:hAnsi="PT Astra Serif"/>
          <w:b w:val="1"/>
          <w:color w:val="000000"/>
          <w:sz w:val="24"/>
        </w:rPr>
        <w:t>аренды имущества казны Курской области</w:t>
      </w:r>
    </w:p>
    <w:p w14:paraId="09000000">
      <w:pPr>
        <w:pStyle w:val="Style_3"/>
        <w:widowControl w:val="1"/>
        <w:spacing w:after="0" w:before="0" w:line="240" w:lineRule="auto"/>
        <w:ind/>
        <w:jc w:val="center"/>
        <w:rPr>
          <w:rFonts w:ascii="PT Astra Serif" w:hAnsi="PT Astra Serif"/>
          <w:b w:val="1"/>
          <w:color w:val="000000"/>
          <w:sz w:val="24"/>
        </w:rPr>
      </w:pPr>
    </w:p>
    <w:tbl>
      <w:tblPr>
        <w:tblStyle w:val="Style_4"/>
        <w:tblW w:type="auto" w:w="0"/>
        <w:tblInd w:type="dxa" w:w="105"/>
        <w:tblLayout w:type="fixed"/>
        <w:tblCellMar>
          <w:top w:type="dxa" w:w="105"/>
          <w:left w:type="dxa" w:w="105"/>
          <w:bottom w:type="dxa" w:w="105"/>
          <w:right w:type="dxa" w:w="105"/>
        </w:tblCellMar>
      </w:tblPr>
      <w:tblGrid>
        <w:gridCol w:w="3402"/>
        <w:gridCol w:w="6804"/>
      </w:tblGrid>
      <w:tr>
        <w:tc>
          <w:tcPr>
            <w:tcW w:type="dxa" w:w="3402"/>
            <w:tcBorders>
              <w:top w:color="000000" w:sz="4" w:val="single"/>
              <w:left w:color="00000A" w:sz="6" w:val="single"/>
              <w:bottom w:color="00000A" w:sz="2" w:val="single"/>
              <w:right w:color="00000A" w:sz="6" w:val="single"/>
            </w:tcBorders>
            <w:shd w:fill="auto" w:val="clear"/>
            <w:tcMar>
              <w:top w:type="dxa" w:w="105"/>
              <w:left w:type="dxa" w:w="105"/>
              <w:bottom w:type="dxa" w:w="105"/>
              <w:right w:type="dxa" w:w="105"/>
            </w:tcMar>
          </w:tcPr>
          <w:p w14:paraId="0A000000">
            <w:pPr>
              <w:pStyle w:val="Style_5"/>
              <w:widowControl w:val="1"/>
              <w:spacing w:after="115" w:before="0" w:line="225" w:lineRule="atLeast"/>
              <w:ind/>
              <w:rPr>
                <w:rFonts w:ascii="PT Astra Serif" w:hAnsi="PT Astra Serif"/>
                <w:sz w:val="24"/>
              </w:rPr>
            </w:pPr>
            <w:r>
              <w:rPr>
                <w:rFonts w:ascii="PT Astra Serif" w:hAnsi="PT Astra Serif"/>
                <w:color w:val="000000"/>
                <w:sz w:val="24"/>
              </w:rPr>
              <w:t>1.Тип процедуры</w:t>
            </w:r>
          </w:p>
        </w:tc>
        <w:tc>
          <w:tcPr>
            <w:tcW w:type="dxa" w:w="6804"/>
            <w:tcBorders>
              <w:top w:color="000000" w:sz="4" w:val="single"/>
              <w:left w:color="00000A" w:sz="2" w:val="single"/>
              <w:bottom w:color="00000A" w:sz="2" w:val="single"/>
              <w:right w:color="00000A" w:sz="6" w:val="single"/>
            </w:tcBorders>
            <w:shd w:fill="auto" w:val="clear"/>
            <w:tcMar>
              <w:top w:type="dxa" w:w="105"/>
              <w:left w:type="dxa" w:w="105"/>
              <w:bottom w:type="dxa" w:w="105"/>
              <w:right w:type="dxa" w:w="105"/>
            </w:tcMar>
          </w:tcPr>
          <w:p w14:paraId="0B000000">
            <w:pPr>
              <w:pStyle w:val="Style_5"/>
              <w:widowControl w:val="1"/>
              <w:spacing w:after="115" w:before="0" w:line="225" w:lineRule="atLeast"/>
              <w:ind/>
              <w:jc w:val="center"/>
              <w:rPr>
                <w:rFonts w:ascii="PT Astra Serif" w:hAnsi="PT Astra Serif"/>
                <w:sz w:val="24"/>
              </w:rPr>
            </w:pPr>
            <w:r>
              <w:rPr>
                <w:rFonts w:ascii="PT Astra Serif" w:hAnsi="PT Astra Serif"/>
                <w:color w:val="000000"/>
                <w:sz w:val="24"/>
              </w:rPr>
              <w:t xml:space="preserve">     </w:t>
            </w:r>
            <w:r>
              <w:rPr>
                <w:rFonts w:ascii="PT Astra Serif" w:hAnsi="PT Astra Serif"/>
                <w:color w:val="000000"/>
                <w:sz w:val="24"/>
              </w:rPr>
              <w:t>Аукцион (Аренда)</w:t>
            </w:r>
          </w:p>
        </w:tc>
      </w:tr>
      <w:tr>
        <w:trPr>
          <w:trHeight w:hRule="atLeast" w:val="694"/>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0C000000">
            <w:pPr>
              <w:pStyle w:val="Style_5"/>
              <w:widowControl w:val="1"/>
              <w:spacing w:line="225" w:lineRule="atLeast"/>
              <w:ind/>
              <w:rPr>
                <w:rFonts w:ascii="PT Astra Serif" w:hAnsi="PT Astra Serif"/>
                <w:sz w:val="24"/>
              </w:rPr>
            </w:pPr>
            <w:r>
              <w:rPr>
                <w:rFonts w:ascii="PT Astra Serif" w:hAnsi="PT Astra Serif"/>
                <w:color w:val="000000"/>
                <w:sz w:val="24"/>
              </w:rPr>
              <w:t>2. Наименование процедуры</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0D000000">
            <w:pPr>
              <w:pStyle w:val="Style_5"/>
              <w:widowControl w:val="1"/>
              <w:spacing w:line="225" w:lineRule="atLeast"/>
              <w:ind w:right="0"/>
              <w:jc w:val="both"/>
              <w:rPr>
                <w:rFonts w:ascii="PT Astra Serif" w:hAnsi="PT Astra Serif"/>
                <w:sz w:val="24"/>
              </w:rPr>
            </w:pPr>
            <w:r>
              <w:rPr>
                <w:rFonts w:ascii="PT Astra Serif" w:hAnsi="PT Astra Serif"/>
                <w:color w:val="000000"/>
                <w:sz w:val="24"/>
              </w:rPr>
              <w:t>Аукцион на право заключения договоров аренды имущества казны Курской области</w:t>
            </w:r>
          </w:p>
        </w:tc>
      </w:tr>
      <w:tr>
        <w:trPr>
          <w:trHeight w:hRule="atLeast" w:val="694"/>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0E000000">
            <w:pPr>
              <w:pStyle w:val="Style_5"/>
              <w:widowControl w:val="1"/>
              <w:spacing w:after="115" w:before="0" w:line="225" w:lineRule="atLeast"/>
              <w:ind/>
              <w:rPr>
                <w:rFonts w:ascii="PT Astra Serif" w:hAnsi="PT Astra Serif"/>
                <w:sz w:val="24"/>
              </w:rPr>
            </w:pPr>
            <w:r>
              <w:rPr>
                <w:rFonts w:ascii="PT Astra Serif" w:hAnsi="PT Astra Serif"/>
                <w:color w:val="000000"/>
                <w:sz w:val="24"/>
              </w:rPr>
              <w:t>3. Нормативное регулирование</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0F000000">
            <w:pPr>
              <w:pStyle w:val="Style_5"/>
              <w:widowControl w:val="1"/>
              <w:spacing w:after="115" w:before="0"/>
              <w:ind w:right="0"/>
              <w:jc w:val="both"/>
              <w:rPr>
                <w:rFonts w:ascii="PT Astra Serif" w:hAnsi="PT Astra Serif"/>
                <w:sz w:val="24"/>
              </w:rPr>
            </w:pPr>
            <w:r>
              <w:rPr>
                <w:rFonts w:ascii="PT Astra Serif" w:hAnsi="PT Astra Serif"/>
                <w:color w:val="000000"/>
                <w:sz w:val="24"/>
              </w:rPr>
              <w:t xml:space="preserve">Настоящий аукцион проводится в соответствии с положениями Гражданского кодекса Российской Федерации; Федеральным законом от 26.07.2006 г. № 135-ФЗ «О защите конкуренции»; Приказом Федеральной антимонопольной службы от 21.03.2023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решением </w:t>
            </w:r>
            <w:r>
              <w:rPr>
                <w:rFonts w:ascii="PT Astra Serif" w:hAnsi="PT Astra Serif"/>
                <w:color w:val="000000"/>
                <w:sz w:val="24"/>
              </w:rPr>
              <w:t xml:space="preserve">Министерства градостроительной политики, имущественных и земельных отношений Курской области </w:t>
            </w:r>
            <w:r>
              <w:rPr>
                <w:rFonts w:ascii="PT Astra Serif" w:hAnsi="PT Astra Serif"/>
                <w:color w:val="000000"/>
                <w:sz w:val="24"/>
              </w:rPr>
              <w:t xml:space="preserve">от </w:t>
            </w:r>
            <w:r>
              <w:rPr>
                <w:rFonts w:ascii="PT Astra Serif" w:hAnsi="PT Astra Serif"/>
                <w:color w:val="000000"/>
                <w:sz w:val="24"/>
              </w:rPr>
              <w:t xml:space="preserve">27.07.2026 г. </w:t>
            </w:r>
            <w:r>
              <w:rPr>
                <w:rFonts w:ascii="PT Astra Serif" w:hAnsi="PT Astra Serif"/>
                <w:color w:val="000000"/>
                <w:sz w:val="24"/>
              </w:rPr>
              <w:t xml:space="preserve">№ </w:t>
            </w:r>
            <w:r>
              <w:rPr>
                <w:rFonts w:ascii="PT Astra Serif" w:hAnsi="PT Astra Serif"/>
                <w:color w:val="000000"/>
                <w:sz w:val="24"/>
              </w:rPr>
              <w:t>01.01-02/585.</w:t>
            </w:r>
          </w:p>
        </w:tc>
      </w:tr>
      <w:tr>
        <w:trPr>
          <w:trHeight w:hRule="atLeast" w:val="694"/>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10000000">
            <w:pPr>
              <w:pStyle w:val="Style_5"/>
              <w:widowControl w:val="1"/>
              <w:spacing w:after="115" w:before="0" w:line="225" w:lineRule="atLeast"/>
              <w:ind/>
              <w:rPr>
                <w:rFonts w:ascii="PT Astra Serif" w:hAnsi="PT Astra Serif"/>
                <w:sz w:val="24"/>
              </w:rPr>
            </w:pPr>
            <w:r>
              <w:rPr>
                <w:rFonts w:ascii="PT Astra Serif" w:hAnsi="PT Astra Serif"/>
                <w:sz w:val="24"/>
              </w:rPr>
              <w:t>4. Информационное обеспечение</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11000000">
            <w:pPr>
              <w:widowControl w:val="1"/>
              <w:ind w:right="0"/>
              <w:jc w:val="both"/>
              <w:rPr>
                <w:rFonts w:ascii="PT Astra Serif" w:hAnsi="PT Astra Serif"/>
                <w:sz w:val="24"/>
              </w:rPr>
            </w:pPr>
            <w:r>
              <w:rPr>
                <w:rFonts w:ascii="PT Astra Serif" w:hAnsi="PT Astra Serif"/>
                <w:sz w:val="24"/>
              </w:rPr>
              <w:t xml:space="preserve">Информационное сообщение о проведении электронного аукциона, размещается на официальном сайте Российской Федерации для размещения информации о проведении торгов www.torgi.gov.ru, официальном сайте </w:t>
            </w:r>
            <w:r>
              <w:rPr>
                <w:rFonts w:ascii="PT Astra Serif" w:hAnsi="PT Astra Serif"/>
                <w:sz w:val="24"/>
              </w:rPr>
              <w:t xml:space="preserve">Губернатора и Правительства Курской области в информационно-телекоммуникационной сети Интернет </w:t>
            </w:r>
            <w:r>
              <w:rPr>
                <w:rFonts w:ascii="PT Astra Serif" w:hAnsi="PT Astra Serif"/>
                <w:sz w:val="24"/>
              </w:rPr>
              <w:t>kursk</w:t>
            </w:r>
            <w:r>
              <w:rPr>
                <w:rFonts w:ascii="PT Astra Serif" w:hAnsi="PT Astra Serif"/>
                <w:sz w:val="24"/>
              </w:rPr>
              <w:t>.</w:t>
            </w:r>
            <w:r>
              <w:rPr>
                <w:rFonts w:ascii="PT Astra Serif" w:hAnsi="PT Astra Serif"/>
                <w:sz w:val="24"/>
              </w:rPr>
              <w:t>ru</w:t>
            </w:r>
            <w:r>
              <w:rPr>
                <w:rFonts w:ascii="PT Astra Serif" w:hAnsi="PT Astra Serif"/>
                <w:sz w:val="24"/>
              </w:rPr>
              <w:t xml:space="preserve">, </w:t>
            </w:r>
            <w:r>
              <w:rPr>
                <w:rFonts w:ascii="PT Astra Serif" w:hAnsi="PT Astra Serif"/>
                <w:sz w:val="24"/>
              </w:rPr>
              <w:t>Министерства градостроительной политики, имущественных и земельных отношений Курской области</w:t>
            </w:r>
            <w:r>
              <w:rPr>
                <w:rFonts w:ascii="PT Astra Serif" w:hAnsi="PT Astra Serif"/>
                <w:sz w:val="24"/>
              </w:rPr>
              <w:t xml:space="preserve"> в информационно-телекоммуникационной сети Интернет </w:t>
            </w:r>
            <w:r>
              <w:rPr>
                <w:rStyle w:val="Style_6_ch"/>
                <w:rFonts w:ascii="PT Astra Serif" w:hAnsi="PT Astra Serif"/>
                <w:sz w:val="24"/>
              </w:rPr>
              <w:fldChar w:fldCharType="begin"/>
            </w:r>
            <w:r>
              <w:rPr>
                <w:rStyle w:val="Style_6_ch"/>
                <w:rFonts w:ascii="PT Astra Serif" w:hAnsi="PT Astra Serif"/>
                <w:sz w:val="24"/>
              </w:rPr>
              <w:instrText>HYPERLINK "http://www.imkursk.ru/"</w:instrText>
            </w:r>
            <w:r>
              <w:rPr>
                <w:rStyle w:val="Style_6_ch"/>
                <w:rFonts w:ascii="PT Astra Serif" w:hAnsi="PT Astra Serif"/>
                <w:sz w:val="24"/>
              </w:rPr>
              <w:fldChar w:fldCharType="separate"/>
            </w:r>
            <w:r>
              <w:rPr>
                <w:rStyle w:val="Style_6_ch"/>
                <w:rFonts w:ascii="PT Astra Serif" w:hAnsi="PT Astra Serif"/>
                <w:sz w:val="24"/>
              </w:rPr>
              <w:t>www.imkursk.ru</w:t>
            </w:r>
            <w:r>
              <w:rPr>
                <w:rStyle w:val="Style_6_ch"/>
                <w:rFonts w:ascii="PT Astra Serif" w:hAnsi="PT Astra Serif"/>
                <w:sz w:val="24"/>
              </w:rPr>
              <w:fldChar w:fldCharType="end"/>
            </w:r>
            <w:r>
              <w:rPr>
                <w:rFonts w:ascii="PT Astra Serif" w:hAnsi="PT Astra Serif"/>
                <w:sz w:val="24"/>
              </w:rPr>
              <w:t>.</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12000000">
            <w:pPr>
              <w:pStyle w:val="Style_5"/>
              <w:widowControl w:val="1"/>
              <w:spacing w:line="225" w:lineRule="atLeast"/>
              <w:ind/>
              <w:jc w:val="both"/>
              <w:rPr>
                <w:rFonts w:ascii="PT Astra Serif" w:hAnsi="PT Astra Serif"/>
                <w:sz w:val="24"/>
              </w:rPr>
            </w:pPr>
            <w:r>
              <w:rPr>
                <w:rFonts w:ascii="PT Astra Serif" w:hAnsi="PT Astra Serif"/>
                <w:sz w:val="24"/>
              </w:rPr>
              <w:t>5. Полное и сокращенное (при наличии) наименование юридического лица, адрес юридического лица в пределах места нахождения юридического лица, адрес электронной почты и номер контактного телефона организатора аукциона, адрес электронной площадки в информационно-телекоммуникационной сети "Интернет", на которой проводится аукцион</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13000000">
            <w:pPr>
              <w:pStyle w:val="Style_7"/>
              <w:widowControl w:val="1"/>
              <w:spacing w:after="0" w:before="0"/>
              <w:ind w:left="0" w:right="0"/>
              <w:contextualSpacing w:val="1"/>
              <w:jc w:val="both"/>
              <w:rPr>
                <w:rFonts w:ascii="PT Astra Serif" w:hAnsi="PT Astra Serif"/>
                <w:sz w:val="24"/>
              </w:rPr>
            </w:pPr>
            <w:r>
              <w:rPr>
                <w:rFonts w:ascii="PT Astra Serif" w:hAnsi="PT Astra Serif"/>
                <w:sz w:val="24"/>
              </w:rPr>
              <w:t xml:space="preserve">Организатор электронного аукциона – </w:t>
            </w:r>
            <w:r>
              <w:rPr>
                <w:rFonts w:ascii="PT Astra Serif" w:hAnsi="PT Astra Serif"/>
                <w:sz w:val="24"/>
              </w:rPr>
              <w:t xml:space="preserve">Министерство градостроительной политики, имущественных и земельных отношений Курской области </w:t>
            </w:r>
            <w:r>
              <w:rPr>
                <w:rFonts w:ascii="PT Astra Serif" w:hAnsi="PT Astra Serif"/>
                <w:sz w:val="24"/>
              </w:rPr>
              <w:t xml:space="preserve">(далее – Организатор). </w:t>
            </w:r>
          </w:p>
          <w:p w14:paraId="14000000">
            <w:pPr>
              <w:widowControl w:val="0"/>
              <w:ind w:right="-1"/>
              <w:rPr>
                <w:rFonts w:ascii="PT Astra Serif" w:hAnsi="PT Astra Serif"/>
                <w:sz w:val="24"/>
              </w:rPr>
            </w:pPr>
            <w:r>
              <w:rPr>
                <w:rFonts w:ascii="PT Astra Serif" w:hAnsi="PT Astra Serif"/>
                <w:sz w:val="24"/>
              </w:rPr>
              <w:t>Адрес Организатора: 305000, г. Курск, ул. Марата, 9. тел. (4712) 40-04-24 (доб. 2044).</w:t>
            </w:r>
          </w:p>
          <w:p w14:paraId="15000000">
            <w:pPr>
              <w:pStyle w:val="Style_7"/>
              <w:widowControl w:val="1"/>
              <w:spacing w:after="0" w:before="0"/>
              <w:ind w:left="0" w:right="0"/>
              <w:contextualSpacing w:val="1"/>
              <w:jc w:val="both"/>
              <w:rPr>
                <w:rFonts w:ascii="PT Astra Serif" w:hAnsi="PT Astra Serif"/>
                <w:sz w:val="24"/>
              </w:rPr>
            </w:pPr>
            <w:r>
              <w:rPr>
                <w:rFonts w:ascii="PT Astra Serif" w:hAnsi="PT Astra Serif"/>
                <w:sz w:val="24"/>
              </w:rPr>
              <w:t xml:space="preserve">Адрес электронной почты Организатора — </w:t>
            </w:r>
            <w:r>
              <w:rPr>
                <w:rFonts w:ascii="PT Astra Serif" w:hAnsi="PT Astra Serif"/>
                <w:sz w:val="24"/>
              </w:rPr>
              <w:t>labuzovavi@imkursk.ru</w:t>
            </w:r>
            <w:r>
              <w:rPr>
                <w:rFonts w:ascii="PT Astra Serif" w:hAnsi="PT Astra Serif"/>
                <w:sz w:val="24"/>
              </w:rPr>
              <w:t xml:space="preserve"> </w:t>
            </w:r>
          </w:p>
          <w:p w14:paraId="16000000">
            <w:pPr>
              <w:pStyle w:val="Style_7"/>
              <w:widowControl w:val="1"/>
              <w:spacing w:after="0" w:before="0"/>
              <w:ind w:left="0" w:right="0"/>
              <w:contextualSpacing w:val="1"/>
              <w:jc w:val="both"/>
              <w:rPr>
                <w:rFonts w:ascii="PT Astra Serif" w:hAnsi="PT Astra Serif"/>
                <w:sz w:val="24"/>
              </w:rPr>
            </w:pPr>
            <w:r>
              <w:rPr>
                <w:rFonts w:ascii="PT Astra Serif" w:hAnsi="PT Astra Serif"/>
                <w:sz w:val="24"/>
              </w:rPr>
              <w:t xml:space="preserve">Оператор электронной площадки: электронная торговая площадка АО «Российский аукционный дом» (АО «РАД») (далее – Оператор электронной площадки), размещенная на сайте в информационно-телекоммуникационной сети «Интернет» по адресу: https://lot-online.ru/. </w:t>
            </w:r>
          </w:p>
          <w:p w14:paraId="17000000">
            <w:pPr>
              <w:widowControl w:val="1"/>
              <w:spacing w:after="0" w:before="0"/>
              <w:ind w:right="0"/>
              <w:contextualSpacing w:val="1"/>
              <w:jc w:val="both"/>
              <w:rPr>
                <w:rFonts w:ascii="PT Astra Serif" w:hAnsi="PT Astra Serif"/>
                <w:sz w:val="24"/>
              </w:rPr>
            </w:pPr>
            <w:r>
              <w:rPr>
                <w:rFonts w:ascii="PT Astra Serif" w:hAnsi="PT Astra Serif"/>
                <w:sz w:val="24"/>
              </w:rPr>
              <w:t>Адрес Оператора электронной площадки: 190000, Санкт-Петербург, переулок Гривцова, д. 5, лит. В, тел: 8 (800) 777 - 57 – 57</w:t>
            </w:r>
          </w:p>
          <w:p w14:paraId="18000000">
            <w:pPr>
              <w:widowControl w:val="1"/>
              <w:spacing w:after="0" w:before="0"/>
              <w:ind w:right="0"/>
              <w:contextualSpacing w:val="1"/>
              <w:jc w:val="both"/>
              <w:rPr>
                <w:rFonts w:ascii="PT Astra Serif" w:hAnsi="PT Astra Serif"/>
                <w:sz w:val="24"/>
              </w:rPr>
            </w:pPr>
            <w:r>
              <w:rPr>
                <w:rFonts w:ascii="PT Astra Serif" w:hAnsi="PT Astra Serif"/>
                <w:sz w:val="24"/>
              </w:rPr>
              <w:t xml:space="preserve">Электронный Аукцион проводится на основании </w:t>
            </w:r>
            <w:r>
              <w:rPr>
                <w:rFonts w:ascii="PT Astra Serif" w:hAnsi="PT Astra Serif"/>
                <w:color w:val="000000"/>
                <w:sz w:val="24"/>
              </w:rPr>
              <w:t xml:space="preserve">решения </w:t>
            </w:r>
            <w:r>
              <w:rPr>
                <w:rFonts w:ascii="PT Astra Serif" w:hAnsi="PT Astra Serif"/>
                <w:color w:val="000000"/>
                <w:sz w:val="24"/>
              </w:rPr>
              <w:t>Министерства градостроительной политики, имущественных и земельных отношений Курской области</w:t>
            </w:r>
            <w:r>
              <w:rPr>
                <w:rFonts w:ascii="PT Astra Serif" w:hAnsi="PT Astra Serif"/>
                <w:color w:val="000000"/>
                <w:sz w:val="24"/>
              </w:rPr>
              <w:t xml:space="preserve"> от</w:t>
            </w:r>
            <w:r>
              <w:rPr>
                <w:rFonts w:ascii="PT Astra Serif" w:hAnsi="PT Astra Serif"/>
                <w:color w:val="000000"/>
                <w:sz w:val="24"/>
              </w:rPr>
              <w:t xml:space="preserve"> 27 июля 2026 г.</w:t>
            </w:r>
            <w:r>
              <w:rPr>
                <w:rFonts w:ascii="PT Astra Serif" w:hAnsi="PT Astra Serif"/>
                <w:color w:val="000000"/>
                <w:sz w:val="24"/>
              </w:rPr>
              <w:t xml:space="preserve"> № </w:t>
            </w:r>
            <w:r>
              <w:rPr>
                <w:rFonts w:ascii="PT Astra Serif" w:hAnsi="PT Astra Serif"/>
                <w:color w:val="000000"/>
                <w:sz w:val="24"/>
              </w:rPr>
              <w:t>01.01-02/585.</w:t>
            </w:r>
          </w:p>
          <w:p w14:paraId="19000000">
            <w:pPr>
              <w:widowControl w:val="1"/>
              <w:spacing w:after="0" w:before="0"/>
              <w:ind w:right="0"/>
              <w:contextualSpacing w:val="1"/>
              <w:jc w:val="both"/>
              <w:rPr>
                <w:rFonts w:ascii="PT Astra Serif" w:hAnsi="PT Astra Serif"/>
                <w:sz w:val="24"/>
              </w:rPr>
            </w:pPr>
            <w:r>
              <w:rPr>
                <w:rFonts w:ascii="PT Astra Serif" w:hAnsi="PT Astra Serif"/>
                <w:sz w:val="24"/>
              </w:rPr>
              <w:t>Электронный аукцион состоит из 1 (одного) Лота.</w:t>
            </w:r>
          </w:p>
          <w:p w14:paraId="1A000000">
            <w:pPr>
              <w:pStyle w:val="Style_7"/>
              <w:widowControl w:val="1"/>
              <w:spacing w:after="0" w:before="0"/>
              <w:ind w:left="0" w:right="0"/>
              <w:contextualSpacing w:val="1"/>
              <w:jc w:val="both"/>
              <w:rPr>
                <w:rFonts w:ascii="PT Astra Serif" w:hAnsi="PT Astra Serif"/>
                <w:sz w:val="24"/>
              </w:rPr>
            </w:pPr>
            <w:r>
              <w:rPr>
                <w:rFonts w:ascii="PT Astra Serif" w:hAnsi="PT Astra Serif"/>
                <w:sz w:val="24"/>
              </w:rPr>
              <w:t>Электронный аукцион является открытым по составу участников и по форме подачи предложений о цене предмета электронного аукциона.</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1B000000">
            <w:pPr>
              <w:pStyle w:val="Style_5"/>
              <w:widowControl w:val="1"/>
              <w:spacing w:line="225" w:lineRule="atLeast"/>
              <w:ind/>
              <w:jc w:val="both"/>
              <w:rPr>
                <w:rFonts w:ascii="PT Astra Serif" w:hAnsi="PT Astra Serif"/>
                <w:sz w:val="24"/>
              </w:rPr>
            </w:pPr>
            <w:r>
              <w:rPr>
                <w:rFonts w:ascii="PT Astra Serif" w:hAnsi="PT Astra Serif"/>
                <w:sz w:val="24"/>
              </w:rPr>
              <w:t>6. Место расположения, описание и технические характеристики муниципального имущества (в том числе цветные фотографии в количестве не менее 3 штук), права на которое передаются по договору, включая площадь помещения, здания, строения или сооружения в случае передачи прав на соответствующее недвижимое имущество</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1C000000">
            <w:pPr>
              <w:pStyle w:val="Style_8"/>
              <w:widowControl w:val="1"/>
              <w:spacing w:after="0" w:before="0" w:line="240" w:lineRule="auto"/>
              <w:ind w:firstLine="36" w:left="0" w:right="0"/>
              <w:jc w:val="both"/>
              <w:rPr>
                <w:rFonts w:ascii="PT Astra Serif" w:hAnsi="PT Astra Serif"/>
                <w:sz w:val="24"/>
              </w:rPr>
            </w:pPr>
            <w:r>
              <w:rPr>
                <w:rFonts w:ascii="PT Astra Serif" w:hAnsi="PT Astra Serif"/>
                <w:b w:val="1"/>
                <w:sz w:val="24"/>
              </w:rPr>
              <w:t xml:space="preserve">Лот № 1  </w:t>
            </w:r>
          </w:p>
          <w:p w14:paraId="1D000000">
            <w:pPr>
              <w:pStyle w:val="Style_9"/>
              <w:widowControl w:val="1"/>
              <w:spacing w:after="0" w:before="0" w:line="240" w:lineRule="auto"/>
              <w:ind w:right="0"/>
              <w:jc w:val="both"/>
              <w:rPr>
                <w:rFonts w:ascii="PT Astra Serif" w:hAnsi="PT Astra Serif"/>
                <w:sz w:val="24"/>
              </w:rPr>
            </w:pPr>
            <w:r>
              <w:rPr>
                <w:rFonts w:ascii="PT Astra Serif" w:hAnsi="PT Astra Serif"/>
                <w:sz w:val="24"/>
              </w:rPr>
              <w:t>нежилое помещение, площадью 21,7 кв.м., входящее в состав нежилого помещения с кадастровым номером 46:29:103197:280, в здании, расположенном по адресу: г. Курск, ул. Магистральная, 17, помещения №№ 7,8, на 2 этаже.</w:t>
            </w:r>
          </w:p>
          <w:p w14:paraId="1E000000">
            <w:pPr>
              <w:pStyle w:val="Style_8"/>
              <w:widowControl w:val="1"/>
              <w:spacing w:after="0" w:before="0" w:line="240" w:lineRule="auto"/>
              <w:ind w:left="0" w:right="0"/>
              <w:jc w:val="both"/>
              <w:rPr>
                <w:rFonts w:ascii="PT Astra Serif" w:hAnsi="PT Astra Serif"/>
                <w:sz w:val="24"/>
              </w:rPr>
            </w:pPr>
          </w:p>
          <w:p w14:paraId="1F000000">
            <w:pPr>
              <w:pStyle w:val="Style_8"/>
              <w:widowControl w:val="1"/>
              <w:spacing w:after="0" w:before="0" w:line="240" w:lineRule="auto"/>
              <w:ind w:firstLine="36" w:left="0" w:right="0"/>
              <w:jc w:val="both"/>
              <w:rPr>
                <w:rFonts w:ascii="PT Astra Serif" w:hAnsi="PT Astra Serif"/>
                <w:sz w:val="24"/>
              </w:rPr>
            </w:pPr>
          </w:p>
          <w:p w14:paraId="20000000">
            <w:pPr>
              <w:pStyle w:val="Style_10"/>
              <w:widowControl w:val="0"/>
              <w:spacing w:after="0" w:before="24"/>
              <w:ind w:firstLine="567" w:left="0" w:right="0"/>
              <w:jc w:val="both"/>
              <w:rPr>
                <w:rFonts w:ascii="PT Astra Serif" w:hAnsi="PT Astra Serif"/>
                <w:sz w:val="24"/>
              </w:rPr>
            </w:pP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21000000">
            <w:pPr>
              <w:pStyle w:val="Style_5"/>
              <w:widowControl w:val="1"/>
              <w:spacing w:line="225" w:lineRule="atLeast"/>
              <w:ind/>
              <w:jc w:val="both"/>
              <w:rPr>
                <w:rFonts w:ascii="PT Astra Serif" w:hAnsi="PT Astra Serif"/>
                <w:sz w:val="24"/>
              </w:rPr>
            </w:pPr>
            <w:r>
              <w:rPr>
                <w:rFonts w:ascii="PT Astra Serif" w:hAnsi="PT Astra Serif"/>
                <w:sz w:val="24"/>
              </w:rPr>
              <w:t>7. Целевое назначение государственного или муниципального имущества, права на которое передаются по договору</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22000000">
            <w:pPr>
              <w:pStyle w:val="Style_8"/>
              <w:widowControl w:val="1"/>
              <w:spacing w:after="0" w:before="0" w:line="240" w:lineRule="auto"/>
              <w:ind w:firstLine="36" w:left="0" w:right="0"/>
              <w:jc w:val="both"/>
              <w:rPr>
                <w:rFonts w:ascii="PT Astra Serif" w:hAnsi="PT Astra Serif"/>
                <w:sz w:val="24"/>
              </w:rPr>
            </w:pPr>
            <w:r>
              <w:rPr>
                <w:rFonts w:ascii="PT Astra Serif" w:hAnsi="PT Astra Serif"/>
                <w:b w:val="1"/>
                <w:sz w:val="24"/>
              </w:rPr>
              <w:t xml:space="preserve">Лот № 1  </w:t>
            </w:r>
          </w:p>
          <w:p w14:paraId="23000000">
            <w:pPr>
              <w:widowControl w:val="1"/>
              <w:ind/>
              <w:jc w:val="both"/>
              <w:rPr>
                <w:rFonts w:ascii="PT Astra Serif" w:hAnsi="PT Astra Serif"/>
                <w:sz w:val="24"/>
              </w:rPr>
            </w:pPr>
            <w:r>
              <w:rPr>
                <w:rFonts w:ascii="PT Astra Serif" w:hAnsi="PT Astra Serif"/>
                <w:sz w:val="24"/>
              </w:rPr>
              <w:t>нежилое помещение.</w:t>
            </w:r>
          </w:p>
          <w:p w14:paraId="24000000">
            <w:pPr>
              <w:widowControl w:val="1"/>
              <w:ind/>
              <w:jc w:val="both"/>
              <w:rPr>
                <w:rFonts w:ascii="PT Astra Serif" w:hAnsi="PT Astra Serif"/>
                <w:sz w:val="24"/>
              </w:rPr>
            </w:pPr>
          </w:p>
          <w:p w14:paraId="25000000">
            <w:pPr>
              <w:pStyle w:val="Style_10"/>
              <w:widowControl w:val="0"/>
              <w:spacing w:after="0" w:before="24"/>
              <w:ind w:firstLine="321" w:left="0" w:right="0"/>
              <w:jc w:val="both"/>
              <w:rPr>
                <w:rFonts w:ascii="PT Astra Serif" w:hAnsi="PT Astra Serif"/>
                <w:sz w:val="24"/>
              </w:rPr>
            </w:pP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26000000">
            <w:pPr>
              <w:pStyle w:val="Style_5"/>
              <w:widowControl w:val="1"/>
              <w:spacing w:line="225" w:lineRule="atLeast"/>
              <w:ind/>
              <w:jc w:val="both"/>
              <w:rPr>
                <w:rFonts w:ascii="PT Astra Serif" w:hAnsi="PT Astra Serif"/>
                <w:sz w:val="24"/>
              </w:rPr>
            </w:pPr>
            <w:r>
              <w:rPr>
                <w:rFonts w:ascii="PT Astra Serif" w:hAnsi="PT Astra Serif"/>
                <w:sz w:val="24"/>
              </w:rPr>
              <w:t>8. Начальная (минимальная) цена договора (цену лота) с указанием при необходимости начальной (минимальной) цены договора (цены лота) за единицу площади государственного или муниципального имущества, права на которое передаются по договору, в размере ежемесячного или ежегодного платежа за право владения или пользования указанным имуществом, в размере платежа за право заключить договор безвозмездного пользования указанным имуществом</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27000000">
            <w:pPr>
              <w:pStyle w:val="Style_8"/>
              <w:widowControl w:val="1"/>
              <w:spacing w:after="0" w:before="0" w:line="240" w:lineRule="auto"/>
              <w:ind w:firstLine="36" w:left="0" w:right="0"/>
              <w:jc w:val="both"/>
              <w:rPr>
                <w:rFonts w:ascii="PT Astra Serif" w:hAnsi="PT Astra Serif"/>
                <w:sz w:val="24"/>
              </w:rPr>
            </w:pPr>
            <w:r>
              <w:rPr>
                <w:rFonts w:ascii="PT Astra Serif" w:hAnsi="PT Astra Serif"/>
                <w:b w:val="1"/>
                <w:sz w:val="24"/>
              </w:rPr>
              <w:t xml:space="preserve">Лот № 1  </w:t>
            </w:r>
          </w:p>
          <w:p w14:paraId="28000000">
            <w:pPr>
              <w:pStyle w:val="Style_11"/>
              <w:widowControl w:val="1"/>
              <w:ind w:firstLine="0" w:right="0"/>
              <w:jc w:val="both"/>
              <w:rPr>
                <w:rFonts w:ascii="PT Astra Serif" w:hAnsi="PT Astra Serif"/>
                <w:sz w:val="24"/>
              </w:rPr>
            </w:pPr>
            <w:r>
              <w:rPr>
                <w:rFonts w:ascii="PT Astra Serif" w:hAnsi="PT Astra Serif"/>
                <w:sz w:val="24"/>
              </w:rPr>
              <w:t xml:space="preserve">Начальная цена годовой арендной платы с НДС – </w:t>
            </w:r>
            <w:r>
              <w:rPr>
                <w:rFonts w:ascii="PT Astra Serif" w:hAnsi="PT Astra Serif"/>
                <w:b w:val="1"/>
                <w:sz w:val="24"/>
              </w:rPr>
              <w:t>66 934 (шестьдесят шесть тысяч девятьсот тридцать четыре) руб. 08 коп.</w:t>
            </w:r>
          </w:p>
          <w:p w14:paraId="29000000">
            <w:pPr>
              <w:pStyle w:val="Style_11"/>
              <w:widowControl w:val="1"/>
              <w:ind w:firstLine="36" w:right="0"/>
              <w:jc w:val="both"/>
              <w:rPr>
                <w:rFonts w:ascii="PT Astra Serif" w:hAnsi="PT Astra Serif"/>
                <w:sz w:val="24"/>
              </w:rPr>
            </w:pPr>
          </w:p>
          <w:p w14:paraId="2A000000">
            <w:pPr>
              <w:pStyle w:val="Style_10"/>
              <w:widowControl w:val="0"/>
              <w:spacing w:after="0" w:before="24"/>
              <w:ind w:left="0" w:right="0"/>
              <w:jc w:val="both"/>
              <w:rPr>
                <w:rFonts w:ascii="PT Astra Serif" w:hAnsi="PT Astra Serif"/>
                <w:sz w:val="24"/>
              </w:rPr>
            </w:pPr>
            <w:r>
              <w:rPr>
                <w:rFonts w:ascii="PT Astra Serif" w:hAnsi="PT Astra Serif"/>
                <w:sz w:val="24"/>
              </w:rPr>
              <w:t>Размер задатка</w:t>
            </w:r>
            <w:r>
              <w:rPr>
                <w:rFonts w:ascii="PT Astra Serif" w:hAnsi="PT Astra Serif"/>
                <w:b w:val="1"/>
                <w:sz w:val="24"/>
              </w:rPr>
              <w:t xml:space="preserve"> </w:t>
            </w:r>
            <w:r>
              <w:rPr>
                <w:rFonts w:ascii="PT Astra Serif" w:hAnsi="PT Astra Serif"/>
                <w:sz w:val="24"/>
              </w:rPr>
              <w:t xml:space="preserve">устанавливается в размере: </w:t>
            </w:r>
            <w:r>
              <w:rPr>
                <w:rFonts w:ascii="PT Astra Serif" w:hAnsi="PT Astra Serif"/>
                <w:b w:val="1"/>
                <w:sz w:val="24"/>
              </w:rPr>
              <w:t>13 386,82 руб. (20% от начальной (минимальной) цены договора).</w:t>
            </w:r>
          </w:p>
          <w:p w14:paraId="2B000000">
            <w:pPr>
              <w:pStyle w:val="Style_10"/>
              <w:widowControl w:val="0"/>
              <w:spacing w:after="0" w:before="24"/>
              <w:ind w:left="0" w:right="0"/>
              <w:jc w:val="both"/>
              <w:rPr>
                <w:rFonts w:ascii="PT Astra Serif" w:hAnsi="PT Astra Serif"/>
                <w:sz w:val="24"/>
              </w:rPr>
            </w:pPr>
          </w:p>
          <w:p w14:paraId="2C000000">
            <w:pPr>
              <w:pStyle w:val="Style_8"/>
              <w:widowControl w:val="1"/>
              <w:spacing w:after="0" w:before="0" w:line="240" w:lineRule="auto"/>
              <w:ind w:firstLine="36" w:left="0" w:right="0"/>
              <w:jc w:val="both"/>
              <w:rPr>
                <w:rFonts w:ascii="PT Astra Serif" w:hAnsi="PT Astra Serif"/>
                <w:b w:val="1"/>
                <w:sz w:val="24"/>
              </w:rPr>
            </w:pPr>
          </w:p>
          <w:p w14:paraId="2D000000">
            <w:pPr>
              <w:pStyle w:val="Style_8"/>
              <w:widowControl w:val="1"/>
              <w:spacing w:after="0" w:before="0" w:line="240" w:lineRule="auto"/>
              <w:ind w:firstLine="36" w:left="0" w:right="0"/>
              <w:jc w:val="both"/>
              <w:rPr>
                <w:rFonts w:ascii="PT Astra Serif" w:hAnsi="PT Astra Serif"/>
                <w:b w:val="1"/>
                <w:sz w:val="24"/>
              </w:rPr>
            </w:pP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2E000000">
            <w:pPr>
              <w:pStyle w:val="Style_5"/>
              <w:widowControl w:val="1"/>
              <w:spacing w:line="225" w:lineRule="atLeast"/>
              <w:ind/>
              <w:rPr>
                <w:rFonts w:ascii="PT Astra Serif" w:hAnsi="PT Astra Serif"/>
                <w:sz w:val="24"/>
              </w:rPr>
            </w:pPr>
            <w:r>
              <w:rPr>
                <w:rFonts w:ascii="PT Astra Serif" w:hAnsi="PT Astra Serif"/>
                <w:sz w:val="24"/>
              </w:rPr>
              <w:t xml:space="preserve">9. </w:t>
            </w:r>
            <w:r>
              <w:rPr>
                <w:rFonts w:ascii="PT Astra Serif" w:hAnsi="PT Astra Serif"/>
                <w:sz w:val="24"/>
              </w:rPr>
              <w:t>Срок действия договоров</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2F000000">
            <w:pPr>
              <w:pStyle w:val="Style_10"/>
              <w:widowControl w:val="0"/>
              <w:spacing w:after="0" w:before="24"/>
              <w:ind w:left="0" w:right="0"/>
              <w:jc w:val="both"/>
              <w:rPr>
                <w:rFonts w:ascii="PT Astra Serif" w:hAnsi="PT Astra Serif"/>
                <w:sz w:val="24"/>
              </w:rPr>
            </w:pPr>
            <w:r>
              <w:rPr>
                <w:rFonts w:ascii="PT Astra Serif" w:hAnsi="PT Astra Serif"/>
                <w:b w:val="1"/>
                <w:sz w:val="24"/>
              </w:rPr>
              <w:t>364 дня</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30000000">
            <w:pPr>
              <w:pStyle w:val="Style_5"/>
              <w:widowControl w:val="1"/>
              <w:spacing w:line="225" w:lineRule="atLeast"/>
              <w:ind/>
              <w:jc w:val="both"/>
              <w:rPr>
                <w:rFonts w:ascii="PT Astra Serif" w:hAnsi="PT Astra Serif"/>
                <w:sz w:val="24"/>
              </w:rPr>
            </w:pPr>
            <w:r>
              <w:rPr>
                <w:rFonts w:ascii="PT Astra Serif" w:hAnsi="PT Astra Serif"/>
                <w:sz w:val="24"/>
              </w:rPr>
              <w:t xml:space="preserve">10. </w:t>
            </w:r>
            <w:r>
              <w:rPr>
                <w:rFonts w:ascii="PT Astra Serif" w:hAnsi="PT Astra Serif"/>
                <w:sz w:val="24"/>
              </w:rPr>
              <w:t>Порядок, дата и время окончания срока подачи заявок на участие в аукционе</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31000000">
            <w:pPr>
              <w:widowControl w:val="1"/>
              <w:ind w:firstLine="321" w:right="0"/>
              <w:jc w:val="both"/>
              <w:rPr>
                <w:rFonts w:ascii="PT Astra Serif" w:hAnsi="PT Astra Serif"/>
                <w:sz w:val="24"/>
              </w:rPr>
            </w:pPr>
            <w:r>
              <w:rPr>
                <w:rFonts w:ascii="PT Astra Serif" w:hAnsi="PT Astra Serif"/>
                <w:sz w:val="24"/>
              </w:rPr>
              <w:t xml:space="preserve">Извещение о проведении аукциона размещается на официальном сайте не менее чем за двадцать дней до дня окончания подачи заявок на участие в аукционе. </w:t>
            </w:r>
          </w:p>
          <w:p w14:paraId="32000000">
            <w:pPr>
              <w:widowControl w:val="1"/>
              <w:tabs>
                <w:tab w:leader="none" w:pos="0" w:val="left"/>
              </w:tabs>
              <w:spacing w:after="0" w:before="0"/>
              <w:ind w:firstLine="321" w:right="0"/>
              <w:contextualSpacing w:val="1"/>
              <w:jc w:val="both"/>
              <w:rPr>
                <w:rFonts w:ascii="PT Astra Serif" w:hAnsi="PT Astra Serif"/>
                <w:sz w:val="24"/>
              </w:rPr>
            </w:pPr>
            <w:r>
              <w:rPr>
                <w:rFonts w:ascii="PT Astra Serif" w:hAnsi="PT Astra Serif"/>
                <w:sz w:val="24"/>
              </w:rPr>
              <w:t>Датой начала срока подачи заявок на участие в аукционе является день, следующий за днем размещения на официальном сайте извещения о проведении аукциона. Местом подачи заявок на участие в аукционе является электронная площадка</w:t>
            </w:r>
          </w:p>
          <w:p w14:paraId="33000000">
            <w:pPr>
              <w:widowControl w:val="0"/>
              <w:spacing w:after="0" w:before="0"/>
              <w:ind w:firstLine="321" w:right="0"/>
              <w:contextualSpacing w:val="1"/>
              <w:jc w:val="both"/>
              <w:rPr>
                <w:rFonts w:ascii="PT Astra Serif" w:hAnsi="PT Astra Serif"/>
                <w:sz w:val="24"/>
              </w:rPr>
            </w:pPr>
            <w:r>
              <w:rPr>
                <w:rFonts w:ascii="PT Astra Serif" w:hAnsi="PT Astra Serif"/>
                <w:sz w:val="24"/>
              </w:rPr>
              <w:t xml:space="preserve">Для участия в аукционе Заявители подают заявку в электронной форме с указанием    банковских реквизитов счета для возврата задатка, размещенной в открытой части электронной площадки, с приложением электронных образов следующих документов: </w:t>
            </w:r>
          </w:p>
          <w:p w14:paraId="34000000">
            <w:pPr>
              <w:widowControl w:val="0"/>
              <w:spacing w:after="0" w:before="0"/>
              <w:ind w:firstLine="321" w:right="0"/>
              <w:contextualSpacing w:val="1"/>
              <w:jc w:val="both"/>
              <w:rPr>
                <w:rFonts w:ascii="PT Astra Serif" w:hAnsi="PT Astra Serif"/>
                <w:sz w:val="24"/>
              </w:rPr>
            </w:pPr>
            <w:r>
              <w:rPr>
                <w:rFonts w:ascii="PT Astra Serif" w:hAnsi="PT Astra Serif"/>
                <w:sz w:val="24"/>
              </w:rPr>
              <w:t>- копии всех листов документов, удостоверяющих личность Заявителя (для физических лиц);</w:t>
            </w:r>
          </w:p>
          <w:p w14:paraId="35000000">
            <w:pPr>
              <w:widowControl w:val="0"/>
              <w:spacing w:after="0" w:before="0"/>
              <w:ind w:firstLine="321" w:right="0"/>
              <w:contextualSpacing w:val="1"/>
              <w:jc w:val="both"/>
              <w:rPr>
                <w:rFonts w:ascii="PT Astra Serif" w:hAnsi="PT Astra Serif"/>
                <w:sz w:val="24"/>
              </w:rPr>
            </w:pPr>
            <w:r>
              <w:rPr>
                <w:rFonts w:ascii="PT Astra Serif" w:hAnsi="PT Astra Serif"/>
                <w:sz w:val="24"/>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36000000">
            <w:pPr>
              <w:widowControl w:val="0"/>
              <w:spacing w:after="0" w:before="0"/>
              <w:ind w:firstLine="321" w:right="0"/>
              <w:contextualSpacing w:val="1"/>
              <w:jc w:val="both"/>
              <w:rPr>
                <w:rFonts w:ascii="PT Astra Serif" w:hAnsi="PT Astra Serif"/>
                <w:sz w:val="24"/>
              </w:rPr>
            </w:pPr>
            <w:r>
              <w:rPr>
                <w:rFonts w:ascii="PT Astra Serif" w:hAnsi="PT Astra Serif"/>
                <w:sz w:val="24"/>
              </w:rPr>
              <w:t xml:space="preserve">- документы, подтверждающие внесение задатка. </w:t>
            </w:r>
          </w:p>
          <w:p w14:paraId="37000000">
            <w:pPr>
              <w:widowControl w:val="0"/>
              <w:spacing w:after="0" w:before="0"/>
              <w:ind w:firstLine="321" w:right="0"/>
              <w:contextualSpacing w:val="1"/>
              <w:jc w:val="both"/>
              <w:rPr>
                <w:rFonts w:ascii="PT Astra Serif" w:hAnsi="PT Astra Serif"/>
                <w:color w:val="000000"/>
                <w:sz w:val="24"/>
              </w:rPr>
            </w:pPr>
            <w:r>
              <w:rPr>
                <w:rFonts w:ascii="PT Astra Serif" w:hAnsi="PT Astra Serif"/>
                <w:sz w:val="24"/>
              </w:rPr>
              <w:t>Представление документов, подтверждающих внесение задатка, признается заключением соглашения о задатке.</w:t>
            </w:r>
          </w:p>
          <w:p w14:paraId="38000000">
            <w:pPr>
              <w:widowControl w:val="0"/>
              <w:spacing w:after="0" w:before="0"/>
              <w:ind w:firstLine="321" w:right="0"/>
              <w:contextualSpacing w:val="1"/>
              <w:jc w:val="both"/>
              <w:rPr>
                <w:rFonts w:ascii="PT Astra Serif" w:hAnsi="PT Astra Serif"/>
                <w:color w:val="000000"/>
                <w:sz w:val="24"/>
              </w:rPr>
            </w:pPr>
            <w:r>
              <w:rPr>
                <w:rFonts w:ascii="PT Astra Serif" w:hAnsi="PT Astra Serif"/>
                <w:color w:val="000000"/>
                <w:sz w:val="24"/>
              </w:rPr>
              <w:t>Заявка на участие в аукционе, а также прилагаемые к ней документы подписываются усиленной квалифицированной электронной подписью Заявителя.</w:t>
            </w:r>
          </w:p>
          <w:p w14:paraId="39000000">
            <w:pPr>
              <w:widowControl w:val="0"/>
              <w:spacing w:after="0" w:before="0"/>
              <w:ind w:firstLine="321" w:right="0"/>
              <w:contextualSpacing w:val="1"/>
              <w:jc w:val="both"/>
              <w:rPr>
                <w:rFonts w:ascii="PT Astra Serif" w:hAnsi="PT Astra Serif"/>
                <w:sz w:val="24"/>
              </w:rPr>
            </w:pPr>
            <w:r>
              <w:rPr>
                <w:rFonts w:ascii="PT Astra Serif" w:hAnsi="PT Astra Serif"/>
                <w:color w:val="000000"/>
                <w:sz w:val="24"/>
              </w:rPr>
              <w:t xml:space="preserve">В случае, если от имени Заявителя действует его представитель по доверенности, к заявке должна быть приложена доверенность на осуществление действий от имени Заявителя,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Заявителя подписана лицом, уполномоченным руководителем юридического лица, заявка должна содержать также документ, подтверждающий полномочия этого лица.  </w:t>
            </w:r>
          </w:p>
          <w:p w14:paraId="3A000000">
            <w:pPr>
              <w:widowControl w:val="0"/>
              <w:spacing w:after="0" w:before="0"/>
              <w:ind w:firstLine="321" w:right="0"/>
              <w:contextualSpacing w:val="1"/>
              <w:jc w:val="both"/>
              <w:rPr>
                <w:rFonts w:ascii="PT Astra Serif" w:hAnsi="PT Astra Serif"/>
                <w:color w:val="000000"/>
                <w:sz w:val="24"/>
              </w:rPr>
            </w:pPr>
            <w:r>
              <w:rPr>
                <w:rFonts w:ascii="PT Astra Serif" w:hAnsi="PT Astra Serif"/>
                <w:sz w:val="24"/>
              </w:rPr>
              <w:t xml:space="preserve">Подача заявки осуществляется только посредством интерфейса электронной площадки </w:t>
            </w:r>
            <w:r>
              <w:rPr>
                <w:rFonts w:ascii="PT Astra Serif" w:hAnsi="PT Astra Serif"/>
                <w:sz w:val="24"/>
              </w:rPr>
              <w:t>https://lot-online.ru/</w:t>
            </w:r>
            <w:r>
              <w:rPr>
                <w:rFonts w:ascii="PT Astra Serif" w:hAnsi="PT Astra Serif"/>
                <w:color w:val="000000"/>
                <w:sz w:val="24"/>
              </w:rPr>
              <w:t xml:space="preserve"> (раздел «Продажи») из личного кабинета </w:t>
            </w:r>
            <w:r>
              <w:rPr>
                <w:rFonts w:ascii="PT Astra Serif" w:hAnsi="PT Astra Serif"/>
                <w:color w:val="000000"/>
                <w:sz w:val="24"/>
              </w:rPr>
              <w:t>Заявителя</w:t>
            </w:r>
            <w:r>
              <w:rPr>
                <w:rFonts w:ascii="PT Astra Serif" w:hAnsi="PT Astra Serif"/>
                <w:color w:val="000000"/>
                <w:sz w:val="24"/>
              </w:rPr>
              <w:t>.</w:t>
            </w:r>
          </w:p>
          <w:p w14:paraId="3B000000">
            <w:pPr>
              <w:widowControl w:val="0"/>
              <w:spacing w:after="0" w:before="0"/>
              <w:ind w:firstLine="321" w:right="0"/>
              <w:contextualSpacing w:val="1"/>
              <w:jc w:val="both"/>
              <w:rPr>
                <w:rFonts w:ascii="PT Astra Serif" w:hAnsi="PT Astra Serif"/>
                <w:sz w:val="24"/>
              </w:rPr>
            </w:pPr>
            <w:r>
              <w:rPr>
                <w:rFonts w:ascii="PT Astra Serif" w:hAnsi="PT Astra Serif"/>
                <w:color w:val="000000"/>
                <w:sz w:val="24"/>
              </w:rPr>
              <w:t xml:space="preserve">Одно лицо имеет право подать только одну заявку по каждому лоту, выставленному на аукцион. </w:t>
            </w:r>
          </w:p>
          <w:p w14:paraId="3C000000">
            <w:pPr>
              <w:widowControl w:val="0"/>
              <w:spacing w:after="0" w:before="0"/>
              <w:ind w:firstLine="321" w:right="0"/>
              <w:contextualSpacing w:val="1"/>
              <w:jc w:val="both"/>
              <w:rPr>
                <w:rFonts w:ascii="PT Astra Serif" w:hAnsi="PT Astra Serif"/>
                <w:sz w:val="24"/>
              </w:rPr>
            </w:pPr>
            <w:r>
              <w:rPr>
                <w:rFonts w:ascii="PT Astra Serif" w:hAnsi="PT Astra Serif"/>
                <w:sz w:val="24"/>
              </w:rPr>
              <w:t>Заявки подаются на электронную площадку, начиная с даты и времени начала приема заявок до даты и времени окончания приема заявок, указанных в информационном сообщении.</w:t>
            </w:r>
          </w:p>
          <w:p w14:paraId="3D000000">
            <w:pPr>
              <w:widowControl w:val="0"/>
              <w:spacing w:after="0" w:before="0"/>
              <w:ind w:firstLine="321" w:right="0"/>
              <w:contextualSpacing w:val="1"/>
              <w:jc w:val="both"/>
              <w:rPr>
                <w:rFonts w:ascii="PT Astra Serif" w:hAnsi="PT Astra Serif"/>
                <w:sz w:val="24"/>
              </w:rPr>
            </w:pPr>
            <w:r>
              <w:rPr>
                <w:rFonts w:ascii="PT Astra Serif" w:hAnsi="PT Astra Serif"/>
                <w:sz w:val="24"/>
              </w:rPr>
              <w:t>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14:paraId="3E000000">
            <w:pPr>
              <w:widowControl w:val="0"/>
              <w:spacing w:after="0" w:before="0"/>
              <w:ind w:firstLine="321" w:right="0"/>
              <w:contextualSpacing w:val="1"/>
              <w:jc w:val="both"/>
              <w:rPr>
                <w:rFonts w:ascii="PT Astra Serif" w:hAnsi="PT Astra Serif"/>
                <w:sz w:val="24"/>
              </w:rPr>
            </w:pPr>
            <w:r>
              <w:rPr>
                <w:rFonts w:ascii="PT Astra Serif" w:hAnsi="PT Astra Serif"/>
                <w:sz w:val="24"/>
              </w:rPr>
              <w:t xml:space="preserve">При приеме заявок оператор обеспечивает конфиденциальность данных о Заявителях, за исключением случаев направления электронных документов Организатору аукциона; обеспечивает конфиденциальность сведений о поступивших заявках и прилагаемых к ним документах, а также сведений о лицах, подавших заявки, за исключением случаев доступа Организатора аукциона к заявкам и документам, до момента размещения на электронной площадке информации об итогах приема заявок (определения участников).    </w:t>
            </w:r>
          </w:p>
          <w:p w14:paraId="3F000000">
            <w:pPr>
              <w:widowControl w:val="0"/>
              <w:spacing w:after="0" w:before="0"/>
              <w:ind w:firstLine="321" w:right="0"/>
              <w:contextualSpacing w:val="1"/>
              <w:jc w:val="both"/>
              <w:rPr>
                <w:rFonts w:ascii="PT Astra Serif" w:hAnsi="PT Astra Serif"/>
                <w:color w:val="000000"/>
                <w:sz w:val="24"/>
              </w:rPr>
            </w:pPr>
            <w:r>
              <w:rPr>
                <w:rFonts w:ascii="PT Astra Serif" w:hAnsi="PT Astra Serif"/>
                <w:sz w:val="24"/>
              </w:rPr>
              <w:t xml:space="preserve">В течение одного часа со времени поступления заявки оператор сообщает </w:t>
            </w:r>
            <w:r>
              <w:rPr>
                <w:rFonts w:ascii="PT Astra Serif" w:hAnsi="PT Astra Serif"/>
                <w:color w:val="000000"/>
                <w:sz w:val="24"/>
              </w:rPr>
              <w:t>Заявителю</w:t>
            </w:r>
            <w:r>
              <w:rPr>
                <w:rFonts w:ascii="PT Astra Serif" w:hAnsi="PT Astra Serif"/>
                <w:sz w:val="24"/>
              </w:rPr>
              <w:t xml:space="preserve"> о ее поступлении путем направления уведомления с приложением электронных копий зарегистрированной заявки и прилагаемых к ней документов.</w:t>
            </w:r>
          </w:p>
          <w:p w14:paraId="40000000">
            <w:pPr>
              <w:widowControl w:val="0"/>
              <w:spacing w:after="0" w:before="0"/>
              <w:ind w:firstLine="321" w:right="0"/>
              <w:contextualSpacing w:val="1"/>
              <w:jc w:val="both"/>
              <w:rPr>
                <w:rFonts w:ascii="PT Astra Serif" w:hAnsi="PT Astra Serif"/>
                <w:color w:val="000000"/>
                <w:sz w:val="24"/>
              </w:rPr>
            </w:pPr>
            <w:r>
              <w:rPr>
                <w:rFonts w:ascii="PT Astra Serif" w:hAnsi="PT Astra Serif"/>
                <w:color w:val="000000"/>
                <w:sz w:val="24"/>
              </w:rPr>
              <w:t>Заявитель вправе не позднее дня окончания срока приема заявок отозвать заявку путем направления уведомления об отзыве заявки на электронную площадку.</w:t>
            </w:r>
          </w:p>
          <w:p w14:paraId="41000000">
            <w:pPr>
              <w:widowControl w:val="0"/>
              <w:spacing w:after="0" w:before="0"/>
              <w:ind w:firstLine="321" w:right="0"/>
              <w:contextualSpacing w:val="1"/>
              <w:jc w:val="both"/>
              <w:rPr>
                <w:rFonts w:ascii="PT Astra Serif" w:hAnsi="PT Astra Serif"/>
                <w:sz w:val="24"/>
              </w:rPr>
            </w:pPr>
            <w:r>
              <w:rPr>
                <w:rFonts w:ascii="PT Astra Serif" w:hAnsi="PT Astra Serif"/>
                <w:color w:val="000000"/>
                <w:sz w:val="24"/>
              </w:rPr>
              <w:t xml:space="preserve">В случае отзыва Заявителем заявки в установленном порядке, уведомление об отзыве вместе с заявкой в течение одного часа поступает в «личный кабинет» организатора, о чем заявителю направляется соответствующее уведомление. </w:t>
            </w:r>
          </w:p>
          <w:p w14:paraId="42000000">
            <w:pPr>
              <w:widowControl w:val="0"/>
              <w:spacing w:after="0" w:before="0"/>
              <w:ind w:firstLine="321" w:right="0"/>
              <w:contextualSpacing w:val="1"/>
              <w:jc w:val="both"/>
              <w:rPr>
                <w:rFonts w:ascii="PT Astra Serif" w:hAnsi="PT Astra Serif"/>
                <w:sz w:val="24"/>
              </w:rPr>
            </w:pPr>
            <w:r>
              <w:rPr>
                <w:rFonts w:ascii="PT Astra Serif" w:hAnsi="PT Astra Serif"/>
                <w:sz w:val="24"/>
              </w:rPr>
              <w:t xml:space="preserve">Изменение заявки допускается только путем подачи </w:t>
            </w:r>
            <w:r>
              <w:rPr>
                <w:rFonts w:ascii="PT Astra Serif" w:hAnsi="PT Astra Serif"/>
                <w:color w:val="000000"/>
                <w:sz w:val="24"/>
              </w:rPr>
              <w:t>Заявителем</w:t>
            </w:r>
            <w:r>
              <w:rPr>
                <w:rFonts w:ascii="PT Astra Serif" w:hAnsi="PT Astra Serif"/>
                <w:sz w:val="24"/>
              </w:rPr>
              <w:t xml:space="preserve"> новой заявки в установленные в информационном сообщении сроки о проведении аукциона, при этом первоначальная заявка должна быть отозвана. </w:t>
            </w:r>
          </w:p>
          <w:p w14:paraId="43000000">
            <w:pPr>
              <w:widowControl w:val="1"/>
              <w:tabs>
                <w:tab w:leader="none" w:pos="0" w:val="left"/>
              </w:tabs>
              <w:spacing w:after="0" w:before="0"/>
              <w:ind w:firstLine="321" w:right="0"/>
              <w:contextualSpacing w:val="1"/>
              <w:jc w:val="both"/>
              <w:rPr>
                <w:rFonts w:ascii="PT Astra Serif" w:hAnsi="PT Astra Serif"/>
                <w:b w:val="0"/>
                <w:sz w:val="24"/>
              </w:rPr>
            </w:pPr>
            <w:r>
              <w:rPr>
                <w:rFonts w:ascii="PT Astra Serif" w:hAnsi="PT Astra Serif"/>
                <w:sz w:val="24"/>
              </w:rPr>
              <w:t>Заявки на участие в электронном аукционе принимаются ежедневно.</w:t>
            </w:r>
          </w:p>
          <w:p w14:paraId="44000000">
            <w:pPr>
              <w:widowControl w:val="1"/>
              <w:tabs>
                <w:tab w:leader="none" w:pos="0" w:val="left"/>
              </w:tabs>
              <w:spacing w:after="0" w:before="0"/>
              <w:ind w:firstLine="321" w:right="0"/>
              <w:contextualSpacing w:val="1"/>
              <w:jc w:val="both"/>
              <w:rPr>
                <w:rFonts w:ascii="PT Astra Serif" w:hAnsi="PT Astra Serif"/>
                <w:sz w:val="24"/>
              </w:rPr>
            </w:pPr>
            <w:r>
              <w:rPr>
                <w:rFonts w:ascii="PT Astra Serif" w:hAnsi="PT Astra Serif"/>
                <w:b w:val="0"/>
                <w:sz w:val="24"/>
              </w:rPr>
              <w:t xml:space="preserve">Дата и время окончания приема заявок: </w:t>
            </w:r>
            <w:r>
              <w:rPr>
                <w:rFonts w:ascii="PT Astra Serif" w:hAnsi="PT Astra Serif"/>
                <w:b w:val="1"/>
                <w:color w:val="000000"/>
                <w:sz w:val="24"/>
                <w:highlight w:val="white"/>
                <w:u w:val="single"/>
              </w:rPr>
              <w:t>17 часов 00 минут по московскому времени 07 сентября 2026 года.</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45000000">
            <w:pPr>
              <w:pStyle w:val="Style_5"/>
              <w:widowControl w:val="1"/>
              <w:spacing w:line="225" w:lineRule="atLeast"/>
              <w:ind/>
              <w:jc w:val="both"/>
              <w:rPr>
                <w:rFonts w:ascii="PT Astra Serif" w:hAnsi="PT Astra Serif"/>
                <w:sz w:val="24"/>
              </w:rPr>
            </w:pPr>
            <w:r>
              <w:rPr>
                <w:rFonts w:ascii="PT Astra Serif" w:hAnsi="PT Astra Serif"/>
                <w:sz w:val="24"/>
              </w:rPr>
              <w:t>11. Требование о внесении задатка, размер задатка, срок и порядок внесения задатка, реквизиты счета для перечисления задатка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46000000">
            <w:pPr>
              <w:widowControl w:val="1"/>
              <w:ind w:firstLine="321" w:right="0"/>
              <w:jc w:val="both"/>
              <w:rPr>
                <w:rFonts w:ascii="PT Astra Serif" w:hAnsi="PT Astra Serif"/>
                <w:sz w:val="24"/>
              </w:rPr>
            </w:pPr>
            <w:r>
              <w:rPr>
                <w:rFonts w:ascii="PT Astra Serif" w:hAnsi="PT Astra Serif"/>
                <w:sz w:val="24"/>
              </w:rPr>
              <w:t xml:space="preserve">Задаток вносится до даты подачи заявки путем безналичного перечисления на реквизиты расчетного счета оператора электронной площадки. </w:t>
            </w:r>
          </w:p>
          <w:p w14:paraId="47000000">
            <w:pPr>
              <w:widowControl w:val="1"/>
              <w:ind w:firstLine="321" w:right="0"/>
              <w:jc w:val="both"/>
              <w:rPr>
                <w:rFonts w:ascii="PT Astra Serif" w:hAnsi="PT Astra Serif"/>
                <w:sz w:val="24"/>
              </w:rPr>
            </w:pPr>
            <w:r>
              <w:rPr>
                <w:rFonts w:ascii="PT Astra Serif" w:hAnsi="PT Astra Serif"/>
                <w:sz w:val="24"/>
              </w:rPr>
              <w:t>Реквизиты счета для перечисления задатка:</w:t>
            </w:r>
          </w:p>
          <w:p w14:paraId="48000000">
            <w:pPr>
              <w:widowControl w:val="1"/>
              <w:ind w:firstLine="321" w:right="0"/>
              <w:jc w:val="both"/>
              <w:rPr>
                <w:rFonts w:ascii="PT Astra Serif" w:hAnsi="PT Astra Serif"/>
                <w:sz w:val="24"/>
              </w:rPr>
            </w:pPr>
            <w:r>
              <w:rPr>
                <w:rFonts w:ascii="PT Astra Serif" w:hAnsi="PT Astra Serif"/>
                <w:sz w:val="24"/>
              </w:rPr>
              <w:t>АО «Российский аукционный дом»</w:t>
            </w:r>
          </w:p>
          <w:p w14:paraId="49000000">
            <w:pPr>
              <w:widowControl w:val="1"/>
              <w:ind w:firstLine="321" w:right="0"/>
              <w:jc w:val="both"/>
              <w:rPr>
                <w:rFonts w:ascii="PT Astra Serif" w:hAnsi="PT Astra Serif"/>
                <w:sz w:val="24"/>
              </w:rPr>
            </w:pPr>
            <w:r>
              <w:rPr>
                <w:rFonts w:ascii="PT Astra Serif" w:hAnsi="PT Astra Serif"/>
                <w:sz w:val="24"/>
              </w:rPr>
              <w:t xml:space="preserve">ИНН 7838430413     </w:t>
            </w:r>
          </w:p>
          <w:p w14:paraId="4A000000">
            <w:pPr>
              <w:widowControl w:val="1"/>
              <w:ind w:firstLine="321" w:right="0"/>
              <w:jc w:val="both"/>
              <w:rPr>
                <w:rFonts w:ascii="PT Astra Serif" w:hAnsi="PT Astra Serif"/>
                <w:sz w:val="24"/>
              </w:rPr>
            </w:pPr>
            <w:r>
              <w:rPr>
                <w:rFonts w:ascii="PT Astra Serif" w:hAnsi="PT Astra Serif"/>
                <w:sz w:val="24"/>
              </w:rPr>
              <w:t>КПП 783801001</w:t>
            </w:r>
          </w:p>
          <w:p w14:paraId="4B000000">
            <w:pPr>
              <w:widowControl w:val="1"/>
              <w:ind w:firstLine="321" w:right="0"/>
              <w:jc w:val="both"/>
              <w:rPr>
                <w:rFonts w:ascii="PT Astra Serif" w:hAnsi="PT Astra Serif"/>
                <w:sz w:val="24"/>
              </w:rPr>
            </w:pPr>
            <w:r>
              <w:rPr>
                <w:rFonts w:ascii="PT Astra Serif" w:hAnsi="PT Astra Serif"/>
                <w:sz w:val="24"/>
              </w:rPr>
              <w:t>Номер расчетного счета: 40702810055040010531</w:t>
            </w:r>
          </w:p>
          <w:p w14:paraId="4C000000">
            <w:pPr>
              <w:widowControl w:val="1"/>
              <w:ind w:firstLine="321" w:right="0"/>
              <w:jc w:val="both"/>
              <w:rPr>
                <w:rFonts w:ascii="PT Astra Serif" w:hAnsi="PT Astra Serif"/>
                <w:sz w:val="24"/>
              </w:rPr>
            </w:pPr>
            <w:r>
              <w:rPr>
                <w:rFonts w:ascii="PT Astra Serif" w:hAnsi="PT Astra Serif"/>
                <w:sz w:val="24"/>
              </w:rPr>
              <w:t>Наименование банка: СЕВЕРО-ЗАПАДНЫЙ БАНК ПАО СБЕРБАНК</w:t>
            </w:r>
          </w:p>
          <w:p w14:paraId="4D000000">
            <w:pPr>
              <w:widowControl w:val="1"/>
              <w:ind w:firstLine="321" w:right="0"/>
              <w:jc w:val="both"/>
              <w:rPr>
                <w:rFonts w:ascii="PT Astra Serif" w:hAnsi="PT Astra Serif"/>
                <w:sz w:val="24"/>
              </w:rPr>
            </w:pPr>
            <w:r>
              <w:rPr>
                <w:rFonts w:ascii="PT Astra Serif" w:hAnsi="PT Astra Serif"/>
                <w:sz w:val="24"/>
              </w:rPr>
              <w:t>БИК банка: 044030653</w:t>
            </w:r>
          </w:p>
          <w:p w14:paraId="4E000000">
            <w:pPr>
              <w:widowControl w:val="1"/>
              <w:ind w:firstLine="321" w:right="0"/>
              <w:jc w:val="both"/>
              <w:rPr>
                <w:rFonts w:ascii="PT Astra Serif" w:hAnsi="PT Astra Serif"/>
                <w:sz w:val="24"/>
              </w:rPr>
            </w:pPr>
            <w:r>
              <w:rPr>
                <w:rFonts w:ascii="PT Astra Serif" w:hAnsi="PT Astra Serif"/>
                <w:sz w:val="24"/>
              </w:rPr>
              <w:t>К/с банка: 30101810500000000653</w:t>
            </w:r>
          </w:p>
          <w:p w14:paraId="4F000000">
            <w:pPr>
              <w:widowControl w:val="1"/>
              <w:ind w:firstLine="321" w:right="0"/>
              <w:jc w:val="both"/>
              <w:rPr>
                <w:rFonts w:ascii="PT Astra Serif" w:hAnsi="PT Astra Serif"/>
                <w:color w:val="000000"/>
                <w:sz w:val="24"/>
              </w:rPr>
            </w:pPr>
            <w:r>
              <w:rPr>
                <w:rFonts w:ascii="PT Astra Serif" w:hAnsi="PT Astra Serif"/>
                <w:sz w:val="24"/>
              </w:rPr>
              <w:t xml:space="preserve">Назначение платежа – «Оплата за участие в электронном аукционе на право заключения договора аренды имущества казны Курской области», назначенного на </w:t>
            </w:r>
            <w:r>
              <w:rPr>
                <w:rFonts w:ascii="PT Astra Serif" w:hAnsi="PT Astra Serif"/>
                <w:b w:val="1"/>
                <w:sz w:val="24"/>
              </w:rPr>
              <w:t>10 сентября 202</w:t>
            </w:r>
            <w:r>
              <w:rPr>
                <w:rFonts w:ascii="PT Astra Serif" w:hAnsi="PT Astra Serif"/>
                <w:b w:val="1"/>
                <w:sz w:val="24"/>
              </w:rPr>
              <w:t>6</w:t>
            </w:r>
            <w:r>
              <w:rPr>
                <w:rFonts w:ascii="PT Astra Serif" w:hAnsi="PT Astra Serif"/>
                <w:b w:val="1"/>
                <w:color w:val="000000"/>
                <w:sz w:val="24"/>
              </w:rPr>
              <w:t xml:space="preserve"> г.</w:t>
            </w:r>
            <w:r>
              <w:rPr>
                <w:rFonts w:ascii="PT Astra Serif" w:hAnsi="PT Astra Serif"/>
                <w:color w:val="000000"/>
                <w:sz w:val="24"/>
              </w:rPr>
              <w:t xml:space="preserve"> по Лоту № 1»</w:t>
            </w:r>
            <w:r>
              <w:rPr>
                <w:rFonts w:ascii="PT Astra Serif" w:hAnsi="PT Astra Serif"/>
                <w:sz w:val="24"/>
              </w:rPr>
              <w:t xml:space="preserve">. </w:t>
            </w:r>
          </w:p>
          <w:p w14:paraId="50000000">
            <w:pPr>
              <w:widowControl w:val="1"/>
              <w:ind w:firstLine="321" w:right="0"/>
              <w:jc w:val="both"/>
              <w:rPr>
                <w:rFonts w:ascii="PT Astra Serif" w:hAnsi="PT Astra Serif"/>
                <w:sz w:val="24"/>
              </w:rPr>
            </w:pPr>
            <w:r>
              <w:rPr>
                <w:rFonts w:ascii="PT Astra Serif" w:hAnsi="PT Astra Serif"/>
                <w:color w:val="000000"/>
                <w:sz w:val="24"/>
              </w:rPr>
              <w:t>Перечисление задатка третьими лицами не допускается.</w:t>
            </w:r>
          </w:p>
        </w:tc>
      </w:tr>
      <w:tr>
        <w:trPr>
          <w:trHeight w:hRule="atLeast" w:val="325"/>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51000000">
            <w:pPr>
              <w:pStyle w:val="Style_5"/>
              <w:widowControl w:val="1"/>
              <w:spacing w:line="225" w:lineRule="atLeast"/>
              <w:ind/>
              <w:rPr>
                <w:rFonts w:ascii="PT Astra Serif" w:hAnsi="PT Astra Serif"/>
                <w:sz w:val="24"/>
              </w:rPr>
            </w:pPr>
            <w:r>
              <w:rPr>
                <w:rFonts w:ascii="PT Astra Serif" w:hAnsi="PT Astra Serif"/>
                <w:sz w:val="24"/>
              </w:rPr>
              <w:t>12. Участники аукциона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52000000">
            <w:pPr>
              <w:widowControl w:val="1"/>
              <w:spacing w:line="225" w:lineRule="atLeast"/>
              <w:ind w:firstLine="317" w:right="0"/>
              <w:jc w:val="both"/>
              <w:rPr>
                <w:rFonts w:ascii="PT Astra Serif" w:hAnsi="PT Astra Serif"/>
                <w:sz w:val="24"/>
              </w:rPr>
            </w:pPr>
            <w:r>
              <w:rPr>
                <w:rFonts w:ascii="PT Astra Serif" w:hAnsi="PT Astra Serif"/>
                <w:color w:val="000000"/>
                <w:sz w:val="24"/>
              </w:rPr>
              <w:t>1.Заявителем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на участие в конкурсе или аукционе (далее - заявитель).</w:t>
            </w:r>
            <w:r>
              <w:rPr>
                <w:rFonts w:ascii="PT Astra Serif" w:hAnsi="PT Astra Serif"/>
                <w:sz w:val="24"/>
              </w:rPr>
              <w:t xml:space="preserve"> </w:t>
            </w:r>
          </w:p>
          <w:p w14:paraId="53000000">
            <w:pPr>
              <w:widowControl w:val="1"/>
              <w:ind w:firstLine="614" w:right="0"/>
              <w:jc w:val="both"/>
              <w:rPr>
                <w:rFonts w:ascii="PT Astra Serif" w:hAnsi="PT Astra Serif"/>
                <w:color w:val="000000"/>
                <w:sz w:val="24"/>
              </w:rPr>
            </w:pPr>
            <w:r>
              <w:rPr>
                <w:rFonts w:ascii="PT Astra Serif" w:hAnsi="PT Astra Serif"/>
                <w:sz w:val="24"/>
              </w:rPr>
              <w:t>2.</w:t>
            </w:r>
            <w:r>
              <w:rPr>
                <w:rFonts w:ascii="PT Astra Serif" w:hAnsi="PT Astra Serif"/>
                <w:sz w:val="24"/>
              </w:rPr>
              <w:t xml:space="preserve"> Для участия в электронном аукционе претендент должен пройти регистрацию на электронной площадке АО «Российский аукционный дом», размещенной на сайте в информационно-телекоммуникационной сети «Интернет» по адресу: </w:t>
            </w:r>
            <w:r>
              <w:rPr>
                <w:rStyle w:val="Style_6_ch"/>
                <w:rFonts w:ascii="PT Astra Serif" w:hAnsi="PT Astra Serif"/>
                <w:sz w:val="24"/>
              </w:rPr>
              <w:fldChar w:fldCharType="begin"/>
            </w:r>
            <w:r>
              <w:rPr>
                <w:rStyle w:val="Style_6_ch"/>
                <w:rFonts w:ascii="PT Astra Serif" w:hAnsi="PT Astra Serif"/>
                <w:sz w:val="24"/>
              </w:rPr>
              <w:instrText>HYPERLINK "https://lot-online.ru/"</w:instrText>
            </w:r>
            <w:r>
              <w:rPr>
                <w:rStyle w:val="Style_6_ch"/>
                <w:rFonts w:ascii="PT Astra Serif" w:hAnsi="PT Astra Serif"/>
                <w:sz w:val="24"/>
              </w:rPr>
              <w:fldChar w:fldCharType="separate"/>
            </w:r>
            <w:r>
              <w:rPr>
                <w:rStyle w:val="Style_6_ch"/>
                <w:rFonts w:ascii="PT Astra Serif" w:hAnsi="PT Astra Serif"/>
                <w:sz w:val="24"/>
              </w:rPr>
              <w:t>https://lot-online.ru/</w:t>
            </w:r>
            <w:r>
              <w:rPr>
                <w:rStyle w:val="Style_6_ch"/>
                <w:rFonts w:ascii="PT Astra Serif" w:hAnsi="PT Astra Serif"/>
                <w:sz w:val="24"/>
              </w:rPr>
              <w:fldChar w:fldCharType="end"/>
            </w:r>
            <w:r>
              <w:rPr>
                <w:rFonts w:ascii="PT Astra Serif" w:hAnsi="PT Astra Serif"/>
                <w:sz w:val="24"/>
              </w:rPr>
              <w:t>, получить аккредитацию, а также получить усиленную квалифицированную электронную подпись в аккредитованных удостоверяющих центрах, список которых размещен на ЭТП АО «Российский аукционный дом» в разделе «электронная подпись». Регистрация на электронной площадке осуществляется без взимания платы.</w:t>
            </w:r>
          </w:p>
          <w:p w14:paraId="54000000">
            <w:pPr>
              <w:pStyle w:val="Style_10"/>
              <w:widowControl w:val="0"/>
              <w:spacing w:after="0" w:before="24"/>
              <w:ind w:firstLine="321" w:left="0" w:right="0"/>
              <w:jc w:val="both"/>
              <w:rPr>
                <w:rFonts w:ascii="PT Astra Serif" w:hAnsi="PT Astra Serif"/>
                <w:sz w:val="24"/>
              </w:rPr>
            </w:pPr>
            <w:r>
              <w:rPr>
                <w:rFonts w:ascii="PT Astra Serif" w:hAnsi="PT Astra Serif"/>
                <w:color w:val="000000"/>
                <w:sz w:val="24"/>
              </w:rPr>
              <w:t>3.Участники конкурсов или аукционов должны соответствовать требованиям, установленным законодательством Российской Федерации к таким участникам.</w:t>
            </w:r>
          </w:p>
        </w:tc>
      </w:tr>
      <w:tr>
        <w:trPr>
          <w:trHeight w:hRule="atLeast" w:val="772"/>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55000000">
            <w:pPr>
              <w:pStyle w:val="Style_5"/>
              <w:widowControl w:val="1"/>
              <w:spacing w:line="225" w:lineRule="atLeast"/>
              <w:ind/>
              <w:jc w:val="both"/>
              <w:rPr>
                <w:rFonts w:ascii="PT Astra Serif" w:hAnsi="PT Astra Serif"/>
                <w:sz w:val="24"/>
              </w:rPr>
            </w:pPr>
            <w:r>
              <w:rPr>
                <w:rFonts w:ascii="PT Astra Serif" w:hAnsi="PT Astra Serif"/>
                <w:sz w:val="24"/>
              </w:rPr>
              <w:t xml:space="preserve">13. </w:t>
            </w:r>
            <w:r>
              <w:rPr>
                <w:rFonts w:ascii="PT Astra Serif" w:hAnsi="PT Astra Serif"/>
                <w:sz w:val="24"/>
              </w:rPr>
              <w:t>Дата и время начала рассмотрения заявок на участие в аукционе</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56000000">
            <w:pPr>
              <w:widowControl w:val="1"/>
              <w:tabs>
                <w:tab w:leader="none" w:pos="0" w:val="left"/>
              </w:tabs>
              <w:spacing w:after="0" w:before="0"/>
              <w:ind w:firstLine="321" w:right="0"/>
              <w:contextualSpacing w:val="1"/>
              <w:jc w:val="both"/>
              <w:rPr>
                <w:rFonts w:ascii="PT Astra Serif" w:hAnsi="PT Astra Serif"/>
                <w:sz w:val="24"/>
              </w:rPr>
            </w:pPr>
            <w:r>
              <w:rPr>
                <w:rFonts w:ascii="PT Astra Serif" w:hAnsi="PT Astra Serif"/>
                <w:sz w:val="24"/>
              </w:rPr>
              <w:t>Рассмотрение заявок на участие в электронном аукционе и определение участников электронного аукциона состоится</w:t>
            </w:r>
            <w:r>
              <w:rPr>
                <w:rFonts w:ascii="PT Astra Serif" w:hAnsi="PT Astra Serif"/>
                <w:b w:val="1"/>
                <w:sz w:val="24"/>
              </w:rPr>
              <w:t xml:space="preserve"> 09 сентяб</w:t>
            </w:r>
            <w:r>
              <w:rPr>
                <w:rFonts w:ascii="PT Astra Serif" w:hAnsi="PT Astra Serif"/>
                <w:b w:val="1"/>
                <w:sz w:val="24"/>
              </w:rPr>
              <w:t>ря 20</w:t>
            </w:r>
            <w:r>
              <w:rPr>
                <w:rFonts w:ascii="PT Astra Serif" w:hAnsi="PT Astra Serif"/>
                <w:b w:val="1"/>
                <w:color w:val="000000"/>
                <w:sz w:val="24"/>
              </w:rPr>
              <w:t>26 года.</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57000000">
            <w:pPr>
              <w:pStyle w:val="Style_5"/>
              <w:widowControl w:val="1"/>
              <w:spacing w:line="225" w:lineRule="atLeast"/>
              <w:ind/>
              <w:jc w:val="both"/>
              <w:rPr>
                <w:rFonts w:ascii="PT Astra Serif" w:hAnsi="PT Astra Serif"/>
                <w:sz w:val="24"/>
              </w:rPr>
            </w:pPr>
            <w:r>
              <w:rPr>
                <w:rFonts w:ascii="PT Astra Serif" w:hAnsi="PT Astra Serif"/>
                <w:b w:val="0"/>
                <w:sz w:val="24"/>
              </w:rPr>
              <w:t xml:space="preserve">14. </w:t>
            </w:r>
            <w:r>
              <w:rPr>
                <w:rFonts w:ascii="PT Astra Serif" w:hAnsi="PT Astra Serif"/>
                <w:b w:val="0"/>
                <w:sz w:val="24"/>
              </w:rPr>
              <w:t>Величина повышения начальной цены договора («шаг аукциона»)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58000000">
            <w:pPr>
              <w:widowControl w:val="1"/>
              <w:ind w:firstLine="321" w:right="0"/>
              <w:jc w:val="both"/>
              <w:rPr>
                <w:rFonts w:ascii="PT Astra Serif" w:hAnsi="PT Astra Serif"/>
                <w:b w:val="0"/>
                <w:color w:val="000000"/>
                <w:sz w:val="24"/>
              </w:rPr>
            </w:pPr>
            <w:r>
              <w:rPr>
                <w:rFonts w:ascii="PT Astra Serif" w:hAnsi="PT Astra Serif"/>
                <w:b w:val="0"/>
                <w:color w:val="000000"/>
                <w:sz w:val="24"/>
              </w:rPr>
              <w:t>Лот № 1</w:t>
            </w:r>
          </w:p>
          <w:p w14:paraId="59000000">
            <w:pPr>
              <w:rPr>
                <w:rFonts w:ascii="PT Astra Serif" w:hAnsi="PT Astra Serif"/>
                <w:sz w:val="24"/>
              </w:rPr>
            </w:pPr>
            <w:r>
              <w:rPr>
                <w:rFonts w:ascii="PT Astra Serif" w:hAnsi="PT Astra Serif"/>
                <w:b w:val="0"/>
                <w:color w:val="000000"/>
                <w:sz w:val="24"/>
              </w:rPr>
              <w:t xml:space="preserve">Шаг аукциона </w:t>
            </w:r>
            <w:r>
              <w:rPr>
                <w:rFonts w:ascii="PT Astra Serif" w:hAnsi="PT Astra Serif"/>
                <w:b w:val="0"/>
                <w:sz w:val="24"/>
              </w:rPr>
              <w:t xml:space="preserve">– </w:t>
            </w:r>
            <w:r>
              <w:rPr>
                <w:rFonts w:ascii="PT Astra Serif" w:hAnsi="PT Astra Serif"/>
                <w:b w:val="0"/>
                <w:color w:val="000000"/>
                <w:sz w:val="24"/>
              </w:rPr>
              <w:t xml:space="preserve">5% от начальной цены предмета аукциона </w:t>
            </w:r>
            <w:r>
              <w:rPr>
                <w:rFonts w:ascii="PT Astra Serif" w:hAnsi="PT Astra Serif"/>
                <w:b w:val="1"/>
                <w:color w:val="000000"/>
                <w:sz w:val="24"/>
              </w:rPr>
              <w:t>3346 (три тысячи триста сорок шесть)  руб. 70 коп.</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5A000000">
            <w:pPr>
              <w:pStyle w:val="Style_5"/>
              <w:widowControl w:val="1"/>
              <w:spacing w:line="225" w:lineRule="atLeast"/>
              <w:ind/>
              <w:jc w:val="both"/>
              <w:rPr>
                <w:rFonts w:ascii="PT Astra Serif" w:hAnsi="PT Astra Serif"/>
                <w:sz w:val="24"/>
              </w:rPr>
            </w:pPr>
            <w:r>
              <w:rPr>
                <w:rFonts w:ascii="PT Astra Serif" w:hAnsi="PT Astra Serif"/>
                <w:sz w:val="24"/>
              </w:rPr>
              <w:t xml:space="preserve">15. </w:t>
            </w:r>
            <w:r>
              <w:rPr>
                <w:rFonts w:ascii="PT Astra Serif" w:hAnsi="PT Astra Serif"/>
                <w:sz w:val="24"/>
              </w:rPr>
              <w:t>Дата и время начала проведения аукциона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5B000000">
            <w:pPr>
              <w:widowControl w:val="1"/>
              <w:tabs>
                <w:tab w:leader="none" w:pos="0" w:val="left"/>
              </w:tabs>
              <w:spacing w:after="0" w:before="0"/>
              <w:ind w:firstLine="321" w:right="0"/>
              <w:contextualSpacing w:val="1"/>
              <w:jc w:val="both"/>
              <w:rPr>
                <w:rFonts w:ascii="PT Astra Serif" w:hAnsi="PT Astra Serif"/>
                <w:sz w:val="24"/>
              </w:rPr>
            </w:pPr>
            <w:r>
              <w:rPr>
                <w:rFonts w:ascii="PT Astra Serif" w:hAnsi="PT Astra Serif"/>
                <w:sz w:val="24"/>
              </w:rPr>
              <w:t xml:space="preserve">Электронный аукцион на право заключения договора аренды имущества казны Курской области состоится </w:t>
            </w:r>
            <w:r>
              <w:rPr>
                <w:rFonts w:ascii="PT Astra Serif" w:hAnsi="PT Astra Serif"/>
                <w:b w:val="1"/>
                <w:sz w:val="24"/>
                <w:u w:val="single"/>
              </w:rPr>
              <w:t>10 сентября 20</w:t>
            </w:r>
            <w:r>
              <w:rPr>
                <w:rFonts w:ascii="PT Astra Serif" w:hAnsi="PT Astra Serif"/>
                <w:b w:val="1"/>
                <w:sz w:val="24"/>
                <w:u w:val="single"/>
              </w:rPr>
              <w:t>26</w:t>
            </w:r>
            <w:r>
              <w:rPr>
                <w:rFonts w:ascii="PT Astra Serif" w:hAnsi="PT Astra Serif"/>
                <w:b w:val="1"/>
                <w:color w:val="000000"/>
                <w:sz w:val="24"/>
                <w:u w:val="single"/>
              </w:rPr>
              <w:t xml:space="preserve"> года в 11 часов 00 минут.</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5C000000">
            <w:pPr>
              <w:pStyle w:val="Style_5"/>
              <w:widowControl w:val="1"/>
              <w:spacing w:line="225" w:lineRule="atLeast"/>
              <w:ind/>
              <w:jc w:val="both"/>
              <w:rPr>
                <w:rFonts w:ascii="PT Astra Serif" w:hAnsi="PT Astra Serif"/>
                <w:sz w:val="24"/>
              </w:rPr>
            </w:pPr>
            <w:r>
              <w:rPr>
                <w:rFonts w:ascii="PT Astra Serif" w:hAnsi="PT Astra Serif"/>
                <w:sz w:val="24"/>
              </w:rPr>
              <w:t xml:space="preserve">16. </w:t>
            </w:r>
            <w:r>
              <w:rPr>
                <w:rFonts w:ascii="PT Astra Serif" w:hAnsi="PT Astra Serif"/>
                <w:sz w:val="24"/>
              </w:rPr>
              <w:t>Сроки и порядок оплаты по договору</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5D000000">
            <w:pPr>
              <w:widowControl w:val="1"/>
              <w:ind w:firstLine="321" w:right="0"/>
              <w:jc w:val="both"/>
              <w:rPr>
                <w:rFonts w:ascii="PT Astra Serif" w:hAnsi="PT Astra Serif"/>
                <w:sz w:val="24"/>
              </w:rPr>
            </w:pPr>
            <w:r>
              <w:rPr>
                <w:rFonts w:ascii="PT Astra Serif" w:hAnsi="PT Astra Serif"/>
                <w:sz w:val="24"/>
              </w:rPr>
              <w:t>А</w:t>
            </w:r>
            <w:r>
              <w:rPr>
                <w:rFonts w:ascii="PT Astra Serif" w:hAnsi="PT Astra Serif"/>
                <w:sz w:val="24"/>
              </w:rPr>
              <w:t xml:space="preserve">рендная плата производится Победителем аукциона путем перечисления денежных средств в бюджет Курской области ежемесячно до 10 числа месяца, следующего за отчетным месяцем. </w:t>
            </w:r>
          </w:p>
          <w:p w14:paraId="5E000000">
            <w:pPr>
              <w:widowControl w:val="1"/>
              <w:spacing w:after="0" w:before="0"/>
              <w:ind w:firstLine="321" w:right="0"/>
              <w:contextualSpacing w:val="1"/>
              <w:jc w:val="both"/>
              <w:rPr>
                <w:rFonts w:ascii="PT Astra Serif" w:hAnsi="PT Astra Serif"/>
                <w:sz w:val="24"/>
              </w:rPr>
            </w:pPr>
            <w:r>
              <w:rPr>
                <w:rFonts w:ascii="PT Astra Serif" w:hAnsi="PT Astra Serif"/>
                <w:sz w:val="24"/>
              </w:rPr>
              <w:t xml:space="preserve">Задаток, внесенный Победителем, засчитывается в счет оплаты арендной платы по Договору.  </w:t>
            </w:r>
          </w:p>
          <w:p w14:paraId="5F000000">
            <w:pPr>
              <w:widowControl w:val="1"/>
              <w:spacing w:after="0" w:before="0"/>
              <w:ind w:firstLine="321" w:right="0"/>
              <w:contextualSpacing w:val="1"/>
              <w:jc w:val="both"/>
              <w:rPr>
                <w:rFonts w:ascii="PT Astra Serif" w:hAnsi="PT Astra Serif"/>
                <w:sz w:val="24"/>
              </w:rPr>
            </w:pPr>
            <w:r>
              <w:rPr>
                <w:rFonts w:ascii="PT Astra Serif" w:hAnsi="PT Astra Serif"/>
                <w:sz w:val="24"/>
              </w:rPr>
              <w:t>При уклонении или отказе Победителя аукциона от заключения в установленный срок договора аренды имущества результаты аукциона аннулируются Арендодателем, Победитель утрачивает право на заключение указанного договора, задаток ему не возвращается</w:t>
            </w:r>
          </w:p>
        </w:tc>
      </w:tr>
      <w:tr>
        <w:trPr>
          <w:trHeight w:hRule="atLeast" w:val="111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60000000">
            <w:pPr>
              <w:pStyle w:val="Style_5"/>
              <w:widowControl w:val="1"/>
              <w:spacing w:line="225" w:lineRule="atLeast"/>
              <w:ind/>
              <w:jc w:val="both"/>
              <w:rPr>
                <w:rFonts w:ascii="PT Astra Serif" w:hAnsi="PT Astra Serif"/>
                <w:sz w:val="24"/>
              </w:rPr>
            </w:pPr>
            <w:r>
              <w:rPr>
                <w:rFonts w:ascii="PT Astra Serif" w:hAnsi="PT Astra Serif"/>
                <w:sz w:val="24"/>
              </w:rPr>
              <w:t xml:space="preserve">17. </w:t>
            </w:r>
            <w:r>
              <w:rPr>
                <w:rFonts w:ascii="PT Astra Serif" w:hAnsi="PT Astra Serif"/>
                <w:sz w:val="24"/>
              </w:rPr>
              <w:t xml:space="preserve">Срок, </w:t>
            </w:r>
            <w:r>
              <w:rPr>
                <w:rFonts w:ascii="PT Astra Serif" w:hAnsi="PT Astra Serif"/>
                <w:sz w:val="24"/>
              </w:rPr>
              <w:t>в течение которого организатор       аукциона вправе отказаться от проведения аукциона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61000000">
            <w:pPr>
              <w:widowControl w:val="1"/>
              <w:spacing w:after="0" w:before="0"/>
              <w:ind w:firstLine="321" w:right="0"/>
              <w:contextualSpacing w:val="1"/>
              <w:jc w:val="both"/>
              <w:rPr>
                <w:rFonts w:ascii="PT Astra Serif" w:hAnsi="PT Astra Serif"/>
                <w:sz w:val="24"/>
              </w:rPr>
            </w:pPr>
            <w:r>
              <w:rPr>
                <w:rFonts w:ascii="PT Astra Serif" w:hAnsi="PT Astra Serif"/>
                <w:sz w:val="24"/>
              </w:rPr>
              <w:t xml:space="preserve">Организатор аукциона вправе отказаться от проведения аукциона не позднее чем за пять дней до даты окончания срока подачи заявок на участие в аукционе. </w:t>
            </w:r>
          </w:p>
          <w:p w14:paraId="62000000">
            <w:pPr>
              <w:widowControl w:val="1"/>
              <w:tabs>
                <w:tab w:leader="none" w:pos="0" w:val="left"/>
              </w:tabs>
              <w:spacing w:after="0" w:before="0"/>
              <w:ind w:firstLine="321" w:right="0"/>
              <w:contextualSpacing w:val="1"/>
              <w:jc w:val="both"/>
              <w:rPr>
                <w:rFonts w:ascii="PT Astra Serif" w:hAnsi="PT Astra Serif"/>
                <w:sz w:val="24"/>
              </w:rPr>
            </w:pPr>
            <w:r>
              <w:rPr>
                <w:rFonts w:ascii="PT Astra Serif" w:hAnsi="PT Astra Serif"/>
                <w:sz w:val="24"/>
              </w:rPr>
              <w:t>Извещение об отказе от проведения аукциона формируется организатором аукциона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с даты размещения извещения об отказе</w:t>
            </w:r>
          </w:p>
        </w:tc>
      </w:tr>
      <w:tr>
        <w:trPr>
          <w:trHeight w:hRule="atLeast" w:val="325"/>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63000000">
            <w:pPr>
              <w:pStyle w:val="Style_5"/>
              <w:widowControl w:val="1"/>
              <w:spacing w:line="225" w:lineRule="atLeast"/>
              <w:ind/>
              <w:jc w:val="both"/>
              <w:rPr>
                <w:rFonts w:ascii="PT Astra Serif" w:hAnsi="PT Astra Serif"/>
                <w:sz w:val="24"/>
              </w:rPr>
            </w:pPr>
            <w:r>
              <w:rPr>
                <w:rFonts w:ascii="PT Astra Serif" w:hAnsi="PT Astra Serif"/>
                <w:sz w:val="24"/>
              </w:rPr>
              <w:t xml:space="preserve">18. </w:t>
            </w:r>
            <w:r>
              <w:rPr>
                <w:rFonts w:ascii="PT Astra Serif" w:hAnsi="PT Astra Serif"/>
                <w:color w:val="000000"/>
                <w:sz w:val="24"/>
              </w:rPr>
              <w:t>С</w:t>
            </w:r>
            <w:r>
              <w:rPr>
                <w:rFonts w:ascii="PT Astra Serif" w:hAnsi="PT Astra Serif"/>
                <w:sz w:val="24"/>
              </w:rPr>
              <w:t>рок, в течение которого должен быть подписан проект договора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64000000">
            <w:pPr>
              <w:widowControl w:val="1"/>
              <w:spacing w:after="0" w:before="0"/>
              <w:ind w:firstLine="321" w:right="0"/>
              <w:contextualSpacing w:val="1"/>
              <w:jc w:val="both"/>
              <w:rPr>
                <w:rFonts w:ascii="PT Astra Serif" w:hAnsi="PT Astra Serif"/>
                <w:sz w:val="24"/>
              </w:rPr>
            </w:pPr>
            <w:r>
              <w:rPr>
                <w:rFonts w:ascii="PT Astra Serif" w:hAnsi="PT Astra Serif"/>
                <w:color w:val="000000"/>
                <w:sz w:val="24"/>
              </w:rPr>
              <w:t>Победитель аукциона или Единственный участник аукциона обязан подписать договор аренды в срок не ранее чем через десять дней и не позднее чем через пятнадцать дней со дня размещения информации о результатах аукциона на официальном сайте торгов.</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65000000">
            <w:pPr>
              <w:pStyle w:val="Style_5"/>
              <w:widowControl w:val="1"/>
              <w:spacing w:after="115" w:before="0"/>
              <w:ind/>
              <w:jc w:val="both"/>
              <w:rPr>
                <w:rFonts w:ascii="PT Astra Serif" w:hAnsi="PT Astra Serif"/>
                <w:sz w:val="24"/>
              </w:rPr>
            </w:pPr>
            <w:r>
              <w:rPr>
                <w:rFonts w:ascii="PT Astra Serif" w:hAnsi="PT Astra Serif"/>
                <w:sz w:val="24"/>
              </w:rPr>
              <w:t>19. Требования к содержанию, составу и форме заявки на участие в аукционе, инструкция по ее заполнению                 (Форма №1)</w:t>
            </w:r>
          </w:p>
          <w:p w14:paraId="66000000">
            <w:pPr>
              <w:pStyle w:val="Style_5"/>
              <w:widowControl w:val="1"/>
              <w:spacing w:after="115" w:before="0" w:line="225" w:lineRule="atLeast"/>
              <w:ind/>
              <w:rPr>
                <w:rFonts w:ascii="PT Astra Serif" w:hAnsi="PT Astra Serif"/>
                <w:sz w:val="24"/>
              </w:rPr>
            </w:pP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67000000">
            <w:pPr>
              <w:widowControl w:val="1"/>
              <w:ind w:firstLine="462" w:right="0"/>
              <w:jc w:val="both"/>
              <w:rPr>
                <w:rFonts w:ascii="PT Astra Serif" w:hAnsi="PT Astra Serif"/>
                <w:sz w:val="24"/>
              </w:rPr>
            </w:pPr>
            <w:r>
              <w:rPr>
                <w:rFonts w:ascii="PT Astra Serif" w:hAnsi="PT Astra Serif"/>
                <w:sz w:val="24"/>
              </w:rPr>
              <w:t>Заявка на участие в аукционе подается в срок и по форме, которые установлены документацией об аукционе.</w:t>
            </w:r>
          </w:p>
          <w:p w14:paraId="68000000">
            <w:pPr>
              <w:widowControl w:val="1"/>
              <w:ind w:firstLine="540" w:right="0"/>
              <w:jc w:val="both"/>
              <w:rPr>
                <w:rFonts w:ascii="PT Astra Serif" w:hAnsi="PT Astra Serif"/>
                <w:sz w:val="24"/>
              </w:rPr>
            </w:pPr>
            <w:r>
              <w:rPr>
                <w:rFonts w:ascii="PT Astra Serif" w:hAnsi="PT Astra Serif"/>
                <w:sz w:val="24"/>
              </w:rPr>
              <w:t>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14:paraId="69000000">
            <w:pPr>
              <w:widowControl w:val="1"/>
              <w:tabs>
                <w:tab w:leader="none" w:pos="0" w:val="left"/>
              </w:tabs>
              <w:ind w:firstLine="603" w:right="0"/>
              <w:jc w:val="both"/>
              <w:rPr>
                <w:rFonts w:ascii="PT Astra Serif" w:hAnsi="PT Astra Serif"/>
                <w:color w:val="000000"/>
                <w:sz w:val="24"/>
              </w:rPr>
            </w:pPr>
            <w:r>
              <w:rPr>
                <w:rFonts w:ascii="PT Astra Serif" w:hAnsi="PT Astra Serif"/>
                <w:sz w:val="24"/>
              </w:rPr>
              <w:t xml:space="preserve">Подача Заявок на электронной торговой площадке </w:t>
            </w:r>
            <w:r>
              <w:rPr>
                <w:rStyle w:val="Style_6_ch"/>
                <w:rFonts w:ascii="PT Astra Serif" w:hAnsi="PT Astra Serif"/>
                <w:sz w:val="24"/>
              </w:rPr>
              <w:fldChar w:fldCharType="begin"/>
            </w:r>
            <w:r>
              <w:rPr>
                <w:rStyle w:val="Style_6_ch"/>
                <w:rFonts w:ascii="PT Astra Serif" w:hAnsi="PT Astra Serif"/>
                <w:sz w:val="24"/>
              </w:rPr>
              <w:instrText>HYPERLINK "https://lot-online.ru/"</w:instrText>
            </w:r>
            <w:r>
              <w:rPr>
                <w:rStyle w:val="Style_6_ch"/>
                <w:rFonts w:ascii="PT Astra Serif" w:hAnsi="PT Astra Serif"/>
                <w:sz w:val="24"/>
              </w:rPr>
              <w:fldChar w:fldCharType="separate"/>
            </w:r>
            <w:r>
              <w:rPr>
                <w:rStyle w:val="Style_6_ch"/>
                <w:rFonts w:ascii="PT Astra Serif" w:hAnsi="PT Astra Serif"/>
                <w:sz w:val="24"/>
              </w:rPr>
              <w:t>https://lot-online.ru/</w:t>
            </w:r>
            <w:r>
              <w:rPr>
                <w:rStyle w:val="Style_6_ch"/>
                <w:rFonts w:ascii="PT Astra Serif" w:hAnsi="PT Astra Serif"/>
                <w:sz w:val="24"/>
              </w:rPr>
              <w:fldChar w:fldCharType="end"/>
            </w:r>
            <w:r>
              <w:rPr>
                <w:rFonts w:ascii="PT Astra Serif" w:hAnsi="PT Astra Serif"/>
                <w:sz w:val="24"/>
              </w:rPr>
              <w:t xml:space="preserve"> </w:t>
            </w:r>
            <w:r>
              <w:rPr>
                <w:rFonts w:ascii="PT Astra Serif" w:hAnsi="PT Astra Serif"/>
                <w:sz w:val="24"/>
              </w:rPr>
              <w:t>в сети интернет осуществляется круглосуточно.</w:t>
            </w:r>
          </w:p>
          <w:p w14:paraId="6A000000">
            <w:pPr>
              <w:widowControl w:val="1"/>
              <w:spacing w:line="225" w:lineRule="atLeast"/>
              <w:ind w:firstLine="603" w:right="0"/>
              <w:jc w:val="both"/>
              <w:rPr>
                <w:rFonts w:ascii="PT Astra Serif" w:hAnsi="PT Astra Serif"/>
                <w:sz w:val="24"/>
              </w:rPr>
            </w:pPr>
            <w:r>
              <w:rPr>
                <w:rFonts w:ascii="PT Astra Serif" w:hAnsi="PT Astra Serif"/>
                <w:color w:val="000000"/>
                <w:sz w:val="24"/>
              </w:rPr>
              <w:t>Оператор электронной площадки обеспечивает регистрацию заявок в журнале приема заявок. Каждой заявке присваивается номер с указанием даты и времени приема.</w:t>
            </w:r>
          </w:p>
          <w:p w14:paraId="6B000000">
            <w:pPr>
              <w:widowControl w:val="1"/>
              <w:tabs>
                <w:tab w:leader="none" w:pos="0" w:val="left"/>
              </w:tabs>
              <w:ind w:right="0"/>
              <w:jc w:val="both"/>
              <w:rPr>
                <w:rFonts w:ascii="PT Astra Serif" w:hAnsi="PT Astra Serif"/>
                <w:sz w:val="24"/>
              </w:rPr>
            </w:pPr>
            <w:r>
              <w:rPr>
                <w:rFonts w:ascii="PT Astra Serif" w:hAnsi="PT Astra Serif"/>
                <w:sz w:val="24"/>
              </w:rPr>
              <w:t xml:space="preserve">Дата начала приема заявок – </w:t>
            </w:r>
            <w:r>
              <w:rPr>
                <w:rFonts w:ascii="PT Astra Serif" w:hAnsi="PT Astra Serif"/>
                <w:b w:val="1"/>
                <w:i w:val="0"/>
                <w:sz w:val="24"/>
                <w:u w:val="single"/>
              </w:rPr>
              <w:t xml:space="preserve">07.08.2026 </w:t>
            </w:r>
            <w:r>
              <w:rPr>
                <w:rFonts w:ascii="PT Astra Serif" w:hAnsi="PT Astra Serif"/>
                <w:b w:val="1"/>
                <w:i w:val="0"/>
                <w:color w:val="000000"/>
                <w:sz w:val="24"/>
                <w:u w:val="single"/>
              </w:rPr>
              <w:t xml:space="preserve">в 09-00 час. </w:t>
            </w:r>
          </w:p>
          <w:p w14:paraId="6C000000">
            <w:pPr>
              <w:widowControl w:val="1"/>
              <w:tabs>
                <w:tab w:leader="none" w:pos="0" w:val="left"/>
              </w:tabs>
              <w:ind w:right="0"/>
              <w:jc w:val="both"/>
              <w:rPr>
                <w:rFonts w:ascii="PT Astra Serif" w:hAnsi="PT Astra Serif"/>
                <w:sz w:val="24"/>
              </w:rPr>
            </w:pPr>
            <w:r>
              <w:rPr>
                <w:rFonts w:ascii="PT Astra Serif" w:hAnsi="PT Astra Serif"/>
                <w:sz w:val="24"/>
              </w:rPr>
              <w:t xml:space="preserve">Дата окончания приема заявок – </w:t>
            </w:r>
            <w:r>
              <w:rPr>
                <w:rFonts w:ascii="PT Astra Serif" w:hAnsi="PT Astra Serif"/>
                <w:b w:val="1"/>
                <w:sz w:val="24"/>
                <w:u w:val="single"/>
              </w:rPr>
              <w:t>07.09.2026 г. в 17-00 час.</w:t>
            </w:r>
          </w:p>
          <w:p w14:paraId="6D000000">
            <w:pPr>
              <w:widowControl w:val="1"/>
              <w:tabs>
                <w:tab w:leader="none" w:pos="0" w:val="left"/>
              </w:tabs>
              <w:ind w:right="0"/>
              <w:jc w:val="both"/>
              <w:rPr>
                <w:rFonts w:ascii="PT Astra Serif" w:hAnsi="PT Astra Serif"/>
                <w:sz w:val="24"/>
              </w:rPr>
            </w:pPr>
            <w:r>
              <w:rPr>
                <w:rFonts w:ascii="PT Astra Serif" w:hAnsi="PT Astra Serif"/>
                <w:sz w:val="24"/>
              </w:rPr>
              <w:t>Дата рассмотрения заявок и документов претендентов, определения участников аукциона-</w:t>
            </w:r>
            <w:r>
              <w:rPr>
                <w:rFonts w:ascii="PT Astra Serif" w:hAnsi="PT Astra Serif"/>
                <w:b w:val="1"/>
                <w:sz w:val="24"/>
                <w:u w:val="single"/>
              </w:rPr>
              <w:t>09.09.2026 в 10-00 час.</w:t>
            </w:r>
          </w:p>
          <w:p w14:paraId="6E000000">
            <w:pPr>
              <w:widowControl w:val="1"/>
              <w:spacing w:line="225" w:lineRule="atLeast"/>
              <w:ind w:right="0"/>
              <w:jc w:val="both"/>
              <w:rPr>
                <w:rFonts w:ascii="PT Astra Serif" w:hAnsi="PT Astra Serif"/>
                <w:sz w:val="24"/>
              </w:rPr>
            </w:pPr>
            <w:r>
              <w:rPr>
                <w:rFonts w:ascii="PT Astra Serif" w:hAnsi="PT Astra Serif"/>
                <w:sz w:val="24"/>
              </w:rPr>
              <w:t>Дата и время аукциона -</w:t>
            </w:r>
            <w:r>
              <w:rPr>
                <w:rFonts w:ascii="PT Astra Serif" w:hAnsi="PT Astra Serif"/>
                <w:b w:val="1"/>
                <w:sz w:val="24"/>
                <w:u w:val="single"/>
              </w:rPr>
              <w:t>10.09.2026</w:t>
            </w:r>
            <w:r>
              <w:rPr>
                <w:rFonts w:ascii="PT Astra Serif" w:hAnsi="PT Astra Serif"/>
                <w:b w:val="1"/>
                <w:color w:val="000000"/>
                <w:sz w:val="24"/>
                <w:u w:val="single"/>
              </w:rPr>
              <w:t xml:space="preserve"> в 11-00 час.</w:t>
            </w:r>
          </w:p>
          <w:p w14:paraId="6F000000">
            <w:pPr>
              <w:widowControl w:val="1"/>
              <w:ind w:firstLine="603" w:right="0"/>
              <w:jc w:val="both"/>
              <w:rPr>
                <w:rFonts w:ascii="PT Astra Serif" w:hAnsi="PT Astra Serif"/>
                <w:sz w:val="24"/>
              </w:rPr>
            </w:pPr>
            <w:r>
              <w:rPr>
                <w:rFonts w:ascii="PT Astra Serif" w:hAnsi="PT Astra Serif"/>
                <w:sz w:val="24"/>
              </w:rPr>
              <w:t>Заявка на участие в аукционе должна содержать следующие документы и сведения:</w:t>
            </w:r>
          </w:p>
          <w:p w14:paraId="70000000">
            <w:pPr>
              <w:widowControl w:val="1"/>
              <w:ind w:firstLine="540" w:right="0"/>
              <w:jc w:val="both"/>
              <w:rPr>
                <w:rFonts w:ascii="PT Astra Serif" w:hAnsi="PT Astra Serif"/>
                <w:sz w:val="24"/>
              </w:rPr>
            </w:pPr>
            <w:r>
              <w:rPr>
                <w:rFonts w:ascii="PT Astra Serif" w:hAnsi="PT Astra Serif"/>
                <w:sz w:val="24"/>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71000000">
            <w:pPr>
              <w:widowControl w:val="1"/>
              <w:ind w:firstLine="540" w:right="0"/>
              <w:jc w:val="both"/>
              <w:rPr>
                <w:rFonts w:ascii="PT Astra Serif" w:hAnsi="PT Astra Serif"/>
                <w:sz w:val="24"/>
              </w:rPr>
            </w:pPr>
            <w:r>
              <w:rPr>
                <w:rFonts w:ascii="PT Astra Serif" w:hAnsi="PT Astra Serif"/>
                <w:sz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72000000">
            <w:pPr>
              <w:widowControl w:val="1"/>
              <w:ind w:firstLine="540" w:right="0"/>
              <w:jc w:val="both"/>
              <w:rPr>
                <w:rFonts w:ascii="PT Astra Serif" w:hAnsi="PT Astra Serif"/>
                <w:sz w:val="24"/>
              </w:rPr>
            </w:pPr>
            <w:r>
              <w:rPr>
                <w:rFonts w:ascii="PT Astra Serif" w:hAnsi="PT Astra Serif"/>
                <w:sz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73000000">
            <w:pPr>
              <w:widowControl w:val="1"/>
              <w:ind w:firstLine="540" w:right="0"/>
              <w:jc w:val="both"/>
              <w:rPr>
                <w:rFonts w:ascii="PT Astra Serif" w:hAnsi="PT Astra Serif"/>
                <w:sz w:val="24"/>
              </w:rPr>
            </w:pPr>
            <w:r>
              <w:rPr>
                <w:rFonts w:ascii="PT Astra Serif" w:hAnsi="PT Astra Serif"/>
                <w:sz w:val="24"/>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74000000">
            <w:pPr>
              <w:widowControl w:val="1"/>
              <w:ind w:firstLine="540" w:right="0"/>
              <w:jc w:val="both"/>
              <w:rPr>
                <w:rFonts w:ascii="PT Astra Serif" w:hAnsi="PT Astra Serif"/>
                <w:sz w:val="24"/>
              </w:rPr>
            </w:pPr>
            <w:r>
              <w:rPr>
                <w:rFonts w:ascii="PT Astra Serif" w:hAnsi="PT Astra Serif"/>
                <w:sz w:val="24"/>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75000000">
            <w:pPr>
              <w:widowControl w:val="1"/>
              <w:ind w:firstLine="540" w:right="0"/>
              <w:jc w:val="both"/>
              <w:rPr>
                <w:rFonts w:ascii="PT Astra Serif" w:hAnsi="PT Astra Serif"/>
                <w:sz w:val="24"/>
              </w:rPr>
            </w:pPr>
            <w:r>
              <w:rPr>
                <w:rFonts w:ascii="PT Astra Serif" w:hAnsi="PT Astra Serif"/>
                <w:sz w:val="24"/>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76000000">
            <w:pPr>
              <w:widowControl w:val="1"/>
              <w:ind w:firstLine="540" w:right="0"/>
              <w:jc w:val="both"/>
              <w:rPr>
                <w:rFonts w:ascii="PT Astra Serif" w:hAnsi="PT Astra Serif"/>
                <w:sz w:val="24"/>
              </w:rPr>
            </w:pPr>
            <w:r>
              <w:rPr>
                <w:rFonts w:ascii="PT Astra Serif" w:hAnsi="PT Astra Serif"/>
                <w:sz w:val="24"/>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77000000">
            <w:pPr>
              <w:widowControl w:val="1"/>
              <w:ind w:firstLine="540" w:right="0"/>
              <w:jc w:val="both"/>
              <w:rPr>
                <w:rFonts w:ascii="PT Astra Serif" w:hAnsi="PT Astra Serif"/>
                <w:sz w:val="24"/>
              </w:rPr>
            </w:pPr>
            <w:r>
              <w:rPr>
                <w:rFonts w:ascii="PT Astra Serif" w:hAnsi="PT Astra Serif"/>
                <w:sz w:val="24"/>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78000000">
            <w:pPr>
              <w:widowControl w:val="1"/>
              <w:ind w:firstLine="540" w:right="0"/>
              <w:jc w:val="both"/>
              <w:rPr>
                <w:rFonts w:ascii="PT Astra Serif" w:hAnsi="PT Astra Serif"/>
                <w:sz w:val="24"/>
              </w:rPr>
            </w:pPr>
            <w:r>
              <w:rPr>
                <w:rFonts w:ascii="PT Astra Serif" w:hAnsi="PT Astra Serif"/>
                <w:sz w:val="24"/>
              </w:rPr>
              <w:t xml:space="preserve">9)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проведении аукциона в соответствии с </w:t>
            </w:r>
            <w:r>
              <w:rPr>
                <w:rStyle w:val="Style_6_ch"/>
                <w:rFonts w:ascii="PT Astra Serif" w:hAnsi="PT Astra Serif"/>
                <w:color w:val="0000FF"/>
                <w:sz w:val="24"/>
              </w:rPr>
              <w:fldChar w:fldCharType="begin"/>
            </w:r>
            <w:r>
              <w:rPr>
                <w:rStyle w:val="Style_6_ch"/>
                <w:rFonts w:ascii="PT Astra Serif" w:hAnsi="PT Astra Serif"/>
                <w:color w:val="0000FF"/>
                <w:sz w:val="24"/>
              </w:rPr>
              <w:instrText>HYPERLINK "https://login.consultant.ru/link/?req=doc&amp;base=LAW&amp;n=439028"</w:instrText>
            </w:r>
            <w:r>
              <w:rPr>
                <w:rStyle w:val="Style_6_ch"/>
                <w:rFonts w:ascii="PT Astra Serif" w:hAnsi="PT Astra Serif"/>
                <w:color w:val="0000FF"/>
                <w:sz w:val="24"/>
              </w:rPr>
              <w:fldChar w:fldCharType="separate"/>
            </w:r>
            <w:r>
              <w:rPr>
                <w:rStyle w:val="Style_6_ch"/>
                <w:rFonts w:ascii="PT Astra Serif" w:hAnsi="PT Astra Serif"/>
                <w:color w:val="0000FF"/>
                <w:sz w:val="24"/>
              </w:rPr>
              <w:t>Постановлением</w:t>
            </w:r>
            <w:r>
              <w:rPr>
                <w:rStyle w:val="Style_6_ch"/>
                <w:rFonts w:ascii="PT Astra Serif" w:hAnsi="PT Astra Serif"/>
                <w:color w:val="0000FF"/>
                <w:sz w:val="24"/>
              </w:rPr>
              <w:fldChar w:fldCharType="end"/>
            </w:r>
            <w:r>
              <w:rPr>
                <w:rFonts w:ascii="PT Astra Serif" w:hAnsi="PT Astra Serif"/>
                <w:sz w:val="24"/>
              </w:rPr>
              <w:t xml:space="preserve"> № 739;</w:t>
            </w:r>
          </w:p>
          <w:p w14:paraId="79000000">
            <w:pPr>
              <w:widowControl w:val="1"/>
              <w:ind w:firstLine="540" w:right="0"/>
              <w:jc w:val="both"/>
              <w:rPr>
                <w:rFonts w:ascii="PT Astra Serif" w:hAnsi="PT Astra Serif"/>
                <w:color w:val="000000"/>
                <w:sz w:val="24"/>
              </w:rPr>
            </w:pPr>
            <w:r>
              <w:rPr>
                <w:rFonts w:ascii="PT Astra Serif" w:hAnsi="PT Astra Serif"/>
                <w:sz w:val="24"/>
              </w:rPr>
              <w:t>10) документы или копии документов, подтверждающие внесение задатка.</w:t>
            </w:r>
          </w:p>
          <w:p w14:paraId="7A000000">
            <w:pPr>
              <w:widowControl w:val="1"/>
              <w:ind w:firstLine="604" w:right="0"/>
              <w:jc w:val="both"/>
              <w:rPr>
                <w:rFonts w:ascii="PT Astra Serif" w:hAnsi="PT Astra Serif"/>
                <w:sz w:val="24"/>
              </w:rPr>
            </w:pPr>
            <w:r>
              <w:rPr>
                <w:rFonts w:ascii="PT Astra Serif" w:hAnsi="PT Astra Serif"/>
                <w:color w:val="000000"/>
                <w:sz w:val="24"/>
              </w:rPr>
              <w:t xml:space="preserve">Подача заявки осуществляется посредством интерфейса электронной площадки </w:t>
            </w:r>
            <w:r>
              <w:rPr>
                <w:rStyle w:val="Style_6_ch"/>
                <w:rFonts w:ascii="PT Astra Serif" w:hAnsi="PT Astra Serif"/>
                <w:sz w:val="24"/>
              </w:rPr>
              <w:fldChar w:fldCharType="begin"/>
            </w:r>
            <w:r>
              <w:rPr>
                <w:rStyle w:val="Style_6_ch"/>
                <w:rFonts w:ascii="PT Astra Serif" w:hAnsi="PT Astra Serif"/>
                <w:sz w:val="24"/>
              </w:rPr>
              <w:instrText>HYPERLINK "https://lot-online.ru/"</w:instrText>
            </w:r>
            <w:r>
              <w:rPr>
                <w:rStyle w:val="Style_6_ch"/>
                <w:rFonts w:ascii="PT Astra Serif" w:hAnsi="PT Astra Serif"/>
                <w:sz w:val="24"/>
              </w:rPr>
              <w:fldChar w:fldCharType="separate"/>
            </w:r>
            <w:r>
              <w:rPr>
                <w:rStyle w:val="Style_6_ch"/>
                <w:rFonts w:ascii="PT Astra Serif" w:hAnsi="PT Astra Serif"/>
                <w:sz w:val="24"/>
              </w:rPr>
              <w:t>https://lot-online.ru/</w:t>
            </w:r>
            <w:r>
              <w:rPr>
                <w:rStyle w:val="Style_6_ch"/>
                <w:rFonts w:ascii="PT Astra Serif" w:hAnsi="PT Astra Serif"/>
                <w:sz w:val="24"/>
              </w:rPr>
              <w:fldChar w:fldCharType="end"/>
            </w:r>
            <w:r>
              <w:rPr>
                <w:rFonts w:ascii="PT Astra Serif" w:hAnsi="PT Astra Serif"/>
                <w:color w:val="000000"/>
                <w:sz w:val="24"/>
              </w:rPr>
              <w:t xml:space="preserve"> (раздел «Продажи») из личного кабинета претендента. 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претендента или участника либо лица, имеющего право действовать от имени соответственно претендента или участника. </w:t>
            </w:r>
          </w:p>
          <w:p w14:paraId="7B000000">
            <w:pPr>
              <w:widowControl w:val="1"/>
              <w:ind w:firstLine="567" w:right="0"/>
              <w:jc w:val="both"/>
              <w:rPr>
                <w:rFonts w:ascii="PT Astra Serif" w:hAnsi="PT Astra Serif"/>
                <w:color w:val="000000"/>
                <w:sz w:val="24"/>
              </w:rPr>
            </w:pPr>
            <w:r>
              <w:rPr>
                <w:rFonts w:ascii="PT Astra Serif" w:hAnsi="PT Astra Serif"/>
                <w:sz w:val="24"/>
              </w:rPr>
              <w:t>Документы и сведения из регистрационных данных пользователя на УТП, актуальные на дату и время окончания приема заявок, направляются Оператором вместе с заявкой Организатору процедуры после окончания приема заявок.</w:t>
            </w:r>
          </w:p>
          <w:p w14:paraId="7C000000">
            <w:pPr>
              <w:pStyle w:val="Style_5"/>
              <w:widowControl w:val="1"/>
              <w:spacing w:line="225" w:lineRule="atLeast"/>
              <w:ind w:firstLine="604" w:right="0"/>
              <w:jc w:val="both"/>
              <w:rPr>
                <w:rFonts w:ascii="PT Astra Serif" w:hAnsi="PT Astra Serif"/>
                <w:color w:val="000000"/>
                <w:sz w:val="24"/>
              </w:rPr>
            </w:pPr>
            <w:r>
              <w:rPr>
                <w:rFonts w:ascii="PT Astra Serif" w:hAnsi="PT Astra Serif"/>
                <w:color w:val="000000"/>
                <w:sz w:val="24"/>
              </w:rPr>
              <w:t>Для участия в аукционе заявители регистрируются                                     в государственной информационной системе «Официальный сайт Российской Федерации в информационно-телекоммуникационной сети «Интернет» www.torgi.gov.ru.</w:t>
            </w:r>
          </w:p>
          <w:p w14:paraId="7D000000">
            <w:pPr>
              <w:pStyle w:val="Style_5"/>
              <w:widowControl w:val="1"/>
              <w:spacing w:line="225" w:lineRule="atLeast"/>
              <w:ind w:firstLine="604" w:right="0"/>
              <w:jc w:val="both"/>
              <w:rPr>
                <w:rFonts w:ascii="PT Astra Serif" w:hAnsi="PT Astra Serif"/>
                <w:sz w:val="24"/>
              </w:rPr>
            </w:pPr>
            <w:r>
              <w:rPr>
                <w:rFonts w:ascii="PT Astra Serif" w:hAnsi="PT Astra Serif"/>
                <w:color w:val="000000"/>
                <w:sz w:val="24"/>
              </w:rPr>
              <w:t xml:space="preserve">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 </w:t>
            </w:r>
          </w:p>
          <w:p w14:paraId="7E000000">
            <w:pPr>
              <w:widowControl w:val="1"/>
              <w:ind w:firstLine="567" w:right="0"/>
              <w:jc w:val="both"/>
              <w:rPr>
                <w:rFonts w:ascii="PT Astra Serif" w:hAnsi="PT Astra Serif"/>
                <w:sz w:val="24"/>
              </w:rPr>
            </w:pPr>
            <w:r>
              <w:rPr>
                <w:rFonts w:ascii="PT Astra Serif" w:hAnsi="PT Astra Serif"/>
                <w:sz w:val="24"/>
              </w:rPr>
              <w:t xml:space="preserve">Оператор электронной площадки: АО «Российский аукционный дом», владеющее сайтом </w:t>
            </w:r>
            <w:r>
              <w:rPr>
                <w:rStyle w:val="Style_6_ch"/>
                <w:rFonts w:ascii="PT Astra Serif" w:hAnsi="PT Astra Serif"/>
                <w:sz w:val="24"/>
              </w:rPr>
              <w:fldChar w:fldCharType="begin"/>
            </w:r>
            <w:r>
              <w:rPr>
                <w:rStyle w:val="Style_6_ch"/>
                <w:rFonts w:ascii="PT Astra Serif" w:hAnsi="PT Astra Serif"/>
                <w:sz w:val="24"/>
              </w:rPr>
              <w:instrText>HYPERLINK "https://lot-online.ru/"</w:instrText>
            </w:r>
            <w:r>
              <w:rPr>
                <w:rStyle w:val="Style_6_ch"/>
                <w:rFonts w:ascii="PT Astra Serif" w:hAnsi="PT Astra Serif"/>
                <w:sz w:val="24"/>
              </w:rPr>
              <w:fldChar w:fldCharType="separate"/>
            </w:r>
            <w:r>
              <w:rPr>
                <w:rStyle w:val="Style_6_ch"/>
                <w:rFonts w:ascii="PT Astra Serif" w:hAnsi="PT Astra Serif"/>
                <w:sz w:val="24"/>
              </w:rPr>
              <w:t>https://lot-online.ru/</w:t>
            </w:r>
            <w:r>
              <w:rPr>
                <w:rStyle w:val="Style_6_ch"/>
                <w:rFonts w:ascii="PT Astra Serif" w:hAnsi="PT Astra Serif"/>
                <w:sz w:val="24"/>
              </w:rPr>
              <w:fldChar w:fldCharType="end"/>
            </w:r>
            <w:r>
              <w:rPr>
                <w:rFonts w:ascii="PT Astra Serif" w:hAnsi="PT Astra Serif"/>
                <w:sz w:val="24"/>
              </w:rPr>
              <w:t xml:space="preserve"> в информационно-телекоммуникационной сети «Интернет».</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7F000000">
            <w:pPr>
              <w:widowControl w:val="1"/>
              <w:ind/>
              <w:jc w:val="both"/>
              <w:rPr>
                <w:rFonts w:ascii="PT Astra Serif" w:hAnsi="PT Astra Serif"/>
                <w:color w:val="000000"/>
                <w:sz w:val="24"/>
              </w:rPr>
            </w:pPr>
            <w:r>
              <w:rPr>
                <w:rFonts w:ascii="PT Astra Serif" w:hAnsi="PT Astra Serif"/>
                <w:sz w:val="24"/>
              </w:rPr>
              <w:t xml:space="preserve">20. </w:t>
            </w:r>
            <w:r>
              <w:rPr>
                <w:rFonts w:ascii="PT Astra Serif" w:hAnsi="PT Astra Serif"/>
                <w:sz w:val="24"/>
              </w:rPr>
              <w:t>Порядок пересмотра цены договора (цены лота) в сторону увеличения, а также указание на то, что цена заключенного договора не может быть пересмотрена сторонами в сторону уменьшения</w:t>
            </w:r>
          </w:p>
          <w:p w14:paraId="80000000">
            <w:pPr>
              <w:widowControl w:val="1"/>
              <w:spacing w:line="225" w:lineRule="atLeast"/>
              <w:ind w:firstLine="317" w:right="0"/>
              <w:jc w:val="both"/>
              <w:rPr>
                <w:rFonts w:ascii="PT Astra Serif" w:hAnsi="PT Astra Serif"/>
                <w:color w:val="000000"/>
                <w:sz w:val="24"/>
              </w:rPr>
            </w:pPr>
          </w:p>
          <w:p w14:paraId="81000000">
            <w:pPr>
              <w:pStyle w:val="Style_5"/>
              <w:widowControl w:val="1"/>
              <w:spacing w:after="115" w:before="0" w:line="225" w:lineRule="atLeast"/>
              <w:ind/>
              <w:jc w:val="both"/>
              <w:rPr>
                <w:rFonts w:ascii="PT Astra Serif" w:hAnsi="PT Astra Serif"/>
                <w:color w:val="000000"/>
                <w:sz w:val="24"/>
              </w:rPr>
            </w:pP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82000000">
            <w:pPr>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Цена заключенного договора аренды (ежегодная арендная плата) может быть увеличена по решению Арендодателя в одностороннем порядке, но не чаще одного раза в год путем направления Арендатору уведомления о факте изменения арендной платы с приложением расчета за месяц до надлежащего платежа. Уведомление является обязательным для Арендатора и составляет неотъемлемую часть договора аренды. Цена заключенного договора аренды не может быть пересмотрена сторонами в сторону уменьшения.</w:t>
            </w:r>
          </w:p>
          <w:p w14:paraId="83000000">
            <w:pPr>
              <w:widowControl w:val="1"/>
              <w:ind w:firstLine="462" w:right="0"/>
              <w:jc w:val="both"/>
              <w:rPr>
                <w:rFonts w:ascii="PT Astra Serif" w:hAnsi="PT Astra Serif"/>
                <w:color w:val="000000"/>
                <w:sz w:val="24"/>
              </w:rPr>
            </w:pP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84000000">
            <w:pPr>
              <w:widowControl w:val="1"/>
              <w:spacing w:line="225" w:lineRule="atLeast"/>
              <w:ind/>
              <w:jc w:val="both"/>
              <w:rPr>
                <w:rFonts w:ascii="PT Astra Serif" w:hAnsi="PT Astra Serif"/>
                <w:sz w:val="24"/>
              </w:rPr>
            </w:pPr>
            <w:r>
              <w:rPr>
                <w:rFonts w:ascii="PT Astra Serif" w:hAnsi="PT Astra Serif"/>
                <w:sz w:val="24"/>
              </w:rPr>
              <w:t xml:space="preserve">21. </w:t>
            </w:r>
            <w:r>
              <w:rPr>
                <w:rFonts w:ascii="PT Astra Serif" w:hAnsi="PT Astra Serif"/>
                <w:color w:val="000000"/>
                <w:sz w:val="24"/>
              </w:rPr>
              <w:t>Требования к участнику аукциона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85000000">
            <w:pPr>
              <w:widowControl w:val="1"/>
              <w:spacing w:line="225" w:lineRule="atLeast"/>
              <w:ind w:firstLine="317" w:right="0"/>
              <w:jc w:val="both"/>
              <w:rPr>
                <w:rFonts w:ascii="PT Astra Serif" w:hAnsi="PT Astra Serif"/>
                <w:sz w:val="24"/>
              </w:rPr>
            </w:pPr>
            <w:r>
              <w:rPr>
                <w:rFonts w:ascii="PT Astra Serif" w:hAnsi="PT Astra Serif"/>
                <w:color w:val="000000"/>
                <w:sz w:val="24"/>
              </w:rPr>
              <w:t>1.Заявителем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на участие в конкурсе или аукционе (далее - заявитель).</w:t>
            </w:r>
            <w:r>
              <w:rPr>
                <w:rFonts w:ascii="PT Astra Serif" w:hAnsi="PT Astra Serif"/>
                <w:sz w:val="24"/>
              </w:rPr>
              <w:t xml:space="preserve"> </w:t>
            </w:r>
          </w:p>
          <w:p w14:paraId="86000000">
            <w:pPr>
              <w:widowControl w:val="1"/>
              <w:ind w:firstLine="614" w:right="0"/>
              <w:jc w:val="both"/>
              <w:rPr>
                <w:rFonts w:ascii="PT Astra Serif" w:hAnsi="PT Astra Serif"/>
                <w:color w:val="000000"/>
                <w:sz w:val="24"/>
              </w:rPr>
            </w:pPr>
            <w:r>
              <w:rPr>
                <w:rFonts w:ascii="PT Astra Serif" w:hAnsi="PT Astra Serif"/>
                <w:sz w:val="24"/>
              </w:rPr>
              <w:t>2.</w:t>
            </w:r>
            <w:r>
              <w:rPr>
                <w:rFonts w:ascii="PT Astra Serif" w:hAnsi="PT Astra Serif"/>
                <w:sz w:val="24"/>
              </w:rPr>
              <w:t xml:space="preserve"> Для участия в электронном аукционе претендент должен пройти регистрацию на электронной площадке АО «Российский аукционный дом», размещенной на сайте в информационно-телекоммуникационной сети «Интернет» по адресу: </w:t>
            </w:r>
            <w:r>
              <w:rPr>
                <w:rStyle w:val="Style_6_ch"/>
                <w:rFonts w:ascii="PT Astra Serif" w:hAnsi="PT Astra Serif"/>
                <w:sz w:val="24"/>
              </w:rPr>
              <w:fldChar w:fldCharType="begin"/>
            </w:r>
            <w:r>
              <w:rPr>
                <w:rStyle w:val="Style_6_ch"/>
                <w:rFonts w:ascii="PT Astra Serif" w:hAnsi="PT Astra Serif"/>
                <w:sz w:val="24"/>
              </w:rPr>
              <w:instrText>HYPERLINK "https://lot-online.ru/"</w:instrText>
            </w:r>
            <w:r>
              <w:rPr>
                <w:rStyle w:val="Style_6_ch"/>
                <w:rFonts w:ascii="PT Astra Serif" w:hAnsi="PT Astra Serif"/>
                <w:sz w:val="24"/>
              </w:rPr>
              <w:fldChar w:fldCharType="separate"/>
            </w:r>
            <w:r>
              <w:rPr>
                <w:rStyle w:val="Style_6_ch"/>
                <w:rFonts w:ascii="PT Astra Serif" w:hAnsi="PT Astra Serif"/>
                <w:sz w:val="24"/>
              </w:rPr>
              <w:t>https://lot-online.ru/</w:t>
            </w:r>
            <w:r>
              <w:rPr>
                <w:rStyle w:val="Style_6_ch"/>
                <w:rFonts w:ascii="PT Astra Serif" w:hAnsi="PT Astra Serif"/>
                <w:sz w:val="24"/>
              </w:rPr>
              <w:fldChar w:fldCharType="end"/>
            </w:r>
            <w:r>
              <w:rPr>
                <w:rFonts w:ascii="PT Astra Serif" w:hAnsi="PT Astra Serif"/>
                <w:sz w:val="24"/>
              </w:rPr>
              <w:t>, получить аккредитацию, а также получить усиленную квалифицированную электронную подпись в аккредитованных удостоверяющих центрах, список которых размещен на ЭТП АО «Российский аукционный дом» в разделе «электронная подпись». Регистрация на электронной площадке осуществляется без взимания платы.</w:t>
            </w:r>
          </w:p>
          <w:p w14:paraId="87000000">
            <w:pPr>
              <w:widowControl w:val="1"/>
              <w:spacing w:line="225" w:lineRule="atLeast"/>
              <w:ind w:firstLine="317" w:right="0"/>
              <w:jc w:val="both"/>
              <w:rPr>
                <w:rFonts w:ascii="PT Astra Serif" w:hAnsi="PT Astra Serif"/>
                <w:sz w:val="24"/>
              </w:rPr>
            </w:pPr>
            <w:r>
              <w:rPr>
                <w:rFonts w:ascii="PT Astra Serif" w:hAnsi="PT Astra Serif"/>
                <w:color w:val="000000"/>
                <w:sz w:val="24"/>
              </w:rPr>
              <w:t>3. Участники конкурсов или аукционов должны соответствовать требованиям, установленным законодательством Российской Федерации к таким участникам.</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88000000">
            <w:pPr>
              <w:widowControl w:val="1"/>
              <w:spacing w:line="225" w:lineRule="atLeast"/>
              <w:ind/>
              <w:jc w:val="both"/>
              <w:rPr>
                <w:rFonts w:ascii="PT Astra Serif" w:hAnsi="PT Astra Serif"/>
                <w:sz w:val="24"/>
              </w:rPr>
            </w:pPr>
            <w:r>
              <w:rPr>
                <w:rFonts w:ascii="PT Astra Serif" w:hAnsi="PT Astra Serif"/>
                <w:sz w:val="24"/>
              </w:rPr>
              <w:t>22. Порядок и сроки отзыва заявок на участие в аукционе</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89000000">
            <w:pPr>
              <w:widowControl w:val="1"/>
              <w:ind w:firstLine="320" w:right="0"/>
              <w:jc w:val="both"/>
              <w:rPr>
                <w:rFonts w:ascii="PT Astra Serif" w:hAnsi="PT Astra Serif"/>
                <w:sz w:val="24"/>
              </w:rPr>
            </w:pPr>
            <w:r>
              <w:rPr>
                <w:rFonts w:ascii="PT Astra Serif" w:hAnsi="PT Astra Serif"/>
                <w:sz w:val="24"/>
              </w:rPr>
              <w:t>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8A000000">
            <w:pPr>
              <w:widowControl w:val="1"/>
              <w:ind/>
              <w:jc w:val="both"/>
              <w:rPr>
                <w:rFonts w:ascii="PT Astra Serif" w:hAnsi="PT Astra Serif"/>
                <w:sz w:val="24"/>
              </w:rPr>
            </w:pPr>
            <w:r>
              <w:rPr>
                <w:rFonts w:ascii="PT Astra Serif" w:hAnsi="PT Astra Serif"/>
                <w:sz w:val="24"/>
              </w:rPr>
              <w:t xml:space="preserve">23. </w:t>
            </w:r>
            <w:r>
              <w:rPr>
                <w:rFonts w:ascii="PT Astra Serif" w:hAnsi="PT Astra Serif"/>
                <w:sz w:val="24"/>
              </w:rPr>
              <w:t>Формы, порядок, даты начала и окончания предоставления участникам аукциона разъяснений положений документации об аукционе</w:t>
            </w:r>
          </w:p>
          <w:p w14:paraId="8B000000">
            <w:pPr>
              <w:widowControl w:val="1"/>
              <w:spacing w:line="225" w:lineRule="atLeast"/>
              <w:ind w:firstLine="317" w:right="0"/>
              <w:jc w:val="both"/>
              <w:rPr>
                <w:rFonts w:ascii="PT Astra Serif" w:hAnsi="PT Astra Serif"/>
                <w:sz w:val="24"/>
              </w:rPr>
            </w:pP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8C000000">
            <w:pPr>
              <w:widowControl w:val="1"/>
              <w:ind w:firstLine="320" w:right="0"/>
              <w:jc w:val="both"/>
              <w:rPr>
                <w:rFonts w:ascii="PT Astra Serif" w:hAnsi="PT Astra Serif"/>
                <w:sz w:val="24"/>
              </w:rPr>
            </w:pPr>
            <w:r>
              <w:rPr>
                <w:rFonts w:ascii="PT Astra Serif" w:hAnsi="PT Astra Serif"/>
                <w:sz w:val="24"/>
              </w:rPr>
              <w:t>Любое заинтересованное лицо вправе направить на адрес электронной площадки или, в случае, если лицо зарегистрировано на электронной площадке, с использованием программно-аппаратных средств электронной площадки не более чем три запроса о разъяснении положений конкурсной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 Разъяснение положений конкурсной документации не должно изменять ее суть.</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8D000000">
            <w:pPr>
              <w:widowControl w:val="1"/>
              <w:ind/>
              <w:jc w:val="both"/>
              <w:rPr>
                <w:rFonts w:ascii="PT Astra Serif" w:hAnsi="PT Astra Serif"/>
                <w:sz w:val="24"/>
              </w:rPr>
            </w:pPr>
            <w:r>
              <w:rPr>
                <w:rFonts w:ascii="PT Astra Serif" w:hAnsi="PT Astra Serif"/>
                <w:sz w:val="24"/>
              </w:rPr>
              <w:t xml:space="preserve">24. </w:t>
            </w:r>
            <w:r>
              <w:rPr>
                <w:rFonts w:ascii="PT Astra Serif" w:hAnsi="PT Astra Serif"/>
                <w:sz w:val="24"/>
              </w:rPr>
              <w:t>Размер обеспечения исполнения договора, срок и порядок его предоставления</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8E000000">
            <w:pPr>
              <w:widowControl w:val="1"/>
              <w:ind w:firstLine="321" w:right="0"/>
              <w:jc w:val="both"/>
              <w:rPr>
                <w:rFonts w:ascii="PT Astra Serif" w:hAnsi="PT Astra Serif"/>
                <w:sz w:val="24"/>
              </w:rPr>
            </w:pPr>
            <w:r>
              <w:rPr>
                <w:rFonts w:ascii="PT Astra Serif" w:hAnsi="PT Astra Serif"/>
                <w:sz w:val="24"/>
              </w:rPr>
              <w:t>Требование об обеспечении исполнения договора, срок и порядок его предоставления не установлены</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8F000000">
            <w:pPr>
              <w:widowControl w:val="1"/>
              <w:ind/>
              <w:jc w:val="both"/>
              <w:rPr>
                <w:rFonts w:ascii="PT Astra Serif" w:hAnsi="PT Astra Serif"/>
                <w:sz w:val="24"/>
              </w:rPr>
            </w:pPr>
            <w:r>
              <w:rPr>
                <w:rFonts w:ascii="PT Astra Serif" w:hAnsi="PT Astra Serif"/>
                <w:sz w:val="24"/>
              </w:rPr>
              <w:t xml:space="preserve">25. </w:t>
            </w:r>
            <w:r>
              <w:rPr>
                <w:rFonts w:ascii="PT Astra Serif" w:hAnsi="PT Astra Serif"/>
                <w:sz w:val="24"/>
              </w:rPr>
              <w:t>Дата, время, график проведения осмотра имущества, права на которое передаются по договору</w:t>
            </w:r>
          </w:p>
          <w:p w14:paraId="90000000">
            <w:pPr>
              <w:widowControl w:val="1"/>
              <w:ind/>
              <w:jc w:val="both"/>
              <w:rPr>
                <w:rFonts w:ascii="PT Astra Serif" w:hAnsi="PT Astra Serif"/>
                <w:sz w:val="24"/>
              </w:rPr>
            </w:pP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91000000">
            <w:pPr>
              <w:widowControl w:val="1"/>
              <w:ind w:firstLine="320" w:right="0"/>
              <w:jc w:val="both"/>
              <w:rPr>
                <w:rFonts w:ascii="PT Astra Serif" w:hAnsi="PT Astra Serif"/>
                <w:sz w:val="24"/>
              </w:rPr>
            </w:pPr>
            <w:r>
              <w:rPr>
                <w:rFonts w:ascii="PT Astra Serif" w:hAnsi="PT Astra Serif"/>
                <w:sz w:val="24"/>
              </w:rPr>
              <w:t xml:space="preserve">Проведение осмотра имущества, выставленного на аукцион, осуществляется по понедельникам и пятницам с 14-00 часов до 16-45 часов. </w:t>
            </w:r>
          </w:p>
          <w:p w14:paraId="92000000">
            <w:pPr>
              <w:widowControl w:val="1"/>
              <w:ind w:firstLine="320" w:right="0"/>
              <w:jc w:val="both"/>
              <w:rPr>
                <w:rFonts w:ascii="PT Astra Serif" w:hAnsi="PT Astra Serif"/>
                <w:sz w:val="24"/>
              </w:rPr>
            </w:pPr>
            <w:r>
              <w:rPr>
                <w:rFonts w:ascii="PT Astra Serif" w:hAnsi="PT Astra Serif"/>
                <w:sz w:val="24"/>
              </w:rPr>
              <w:t>Проведение такого осмотра осуществляется не реже чем через каждые пять рабочих дней с даты размещения извещения о проведении аукциона на официальном сайте, но не позднее чем за два рабочих дня до даты окончания срока подачи заявок.</w:t>
            </w:r>
          </w:p>
          <w:p w14:paraId="93000000">
            <w:pPr>
              <w:widowControl w:val="1"/>
              <w:spacing w:line="225" w:lineRule="atLeast"/>
              <w:ind w:firstLine="317" w:right="0"/>
              <w:jc w:val="both"/>
              <w:rPr>
                <w:rFonts w:ascii="PT Astra Serif" w:hAnsi="PT Astra Serif"/>
                <w:sz w:val="24"/>
              </w:rPr>
            </w:pPr>
            <w:r>
              <w:rPr>
                <w:rFonts w:ascii="PT Astra Serif" w:hAnsi="PT Astra Serif"/>
                <w:sz w:val="24"/>
              </w:rPr>
              <w:t>Консультация по тел: 40-04-24 (доб. 2044).</w:t>
            </w:r>
          </w:p>
          <w:p w14:paraId="94000000">
            <w:pPr>
              <w:widowControl w:val="1"/>
              <w:ind w:firstLine="320" w:right="0"/>
              <w:jc w:val="both"/>
              <w:rPr>
                <w:rFonts w:ascii="PT Astra Serif" w:hAnsi="PT Astra Serif"/>
                <w:sz w:val="24"/>
              </w:rPr>
            </w:pPr>
            <w:r>
              <w:rPr>
                <w:rFonts w:ascii="PT Astra Serif" w:hAnsi="PT Astra Serif"/>
                <w:sz w:val="24"/>
              </w:rPr>
              <w:t>Победитель торгов, не реализовавший свое право на осмотр объекта и изучение его технической документации, лишается права предъявлять претензии по поводу юридического, физического и финансового состояния объекта.</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95000000">
            <w:pPr>
              <w:widowControl w:val="1"/>
              <w:ind/>
              <w:jc w:val="both"/>
              <w:rPr>
                <w:rFonts w:ascii="PT Astra Serif" w:hAnsi="PT Astra Serif"/>
                <w:sz w:val="24"/>
              </w:rPr>
            </w:pPr>
            <w:r>
              <w:rPr>
                <w:rFonts w:ascii="PT Astra Serif" w:hAnsi="PT Astra Serif"/>
                <w:sz w:val="24"/>
              </w:rPr>
              <w:t>26. К</w:t>
            </w:r>
            <w:r>
              <w:rPr>
                <w:rFonts w:ascii="PT Astra Serif" w:hAnsi="PT Astra Serif"/>
                <w:sz w:val="24"/>
              </w:rPr>
              <w:t>опия документа, подтверждающего согласие собственника имущества (а в случае заключения договора субаренды также и арендодателя) на предоставление прав в отношении государственного или муниципального имущества по договору, право на заключение которого является предметом торгов</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96000000">
            <w:pPr>
              <w:widowControl w:val="1"/>
              <w:ind w:firstLine="320" w:right="0"/>
              <w:jc w:val="both"/>
              <w:rPr>
                <w:rFonts w:ascii="PT Astra Serif" w:hAnsi="PT Astra Serif"/>
                <w:sz w:val="24"/>
              </w:rPr>
            </w:pPr>
            <w:r>
              <w:rPr>
                <w:rFonts w:ascii="PT Astra Serif" w:hAnsi="PT Astra Serif"/>
                <w:sz w:val="24"/>
              </w:rPr>
              <w:t>Настоящая аукционная документация является согласием на заключение договора аренды с победителем аукциона либо с единственным признанным участником аукциона.</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97000000">
            <w:pPr>
              <w:widowControl w:val="1"/>
              <w:ind/>
              <w:jc w:val="both"/>
              <w:rPr>
                <w:rFonts w:ascii="PT Astra Serif" w:hAnsi="PT Astra Serif"/>
                <w:sz w:val="24"/>
              </w:rPr>
            </w:pPr>
            <w:r>
              <w:rPr>
                <w:rFonts w:ascii="PT Astra Serif" w:hAnsi="PT Astra Serif"/>
                <w:sz w:val="24"/>
              </w:rPr>
              <w:t xml:space="preserve">27. </w:t>
            </w:r>
            <w:r>
              <w:rPr>
                <w:rFonts w:ascii="PT Astra Serif" w:hAnsi="PT Astra Serif"/>
                <w:sz w:val="24"/>
              </w:rPr>
              <w:t>Копия документа, подтверждающего согласие собственника имущества (арендодателя) на предоставление лицом, с которым заключается договор, прав в отношении государственного или муниципального имущества третьим лицам, или указание на то, что передача таких прав третьим лицам не допускается</w:t>
            </w:r>
          </w:p>
          <w:p w14:paraId="98000000">
            <w:pPr>
              <w:widowControl w:val="1"/>
              <w:ind/>
              <w:jc w:val="both"/>
              <w:rPr>
                <w:rFonts w:ascii="PT Astra Serif" w:hAnsi="PT Astra Serif"/>
                <w:sz w:val="24"/>
              </w:rPr>
            </w:pP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99000000">
            <w:pPr>
              <w:widowControl w:val="1"/>
              <w:ind w:firstLine="320" w:right="0"/>
              <w:jc w:val="both"/>
              <w:rPr>
                <w:rFonts w:ascii="PT Astra Serif" w:hAnsi="PT Astra Serif"/>
                <w:sz w:val="24"/>
              </w:rPr>
            </w:pPr>
            <w:r>
              <w:rPr>
                <w:rFonts w:ascii="PT Astra Serif" w:hAnsi="PT Astra Serif"/>
                <w:sz w:val="24"/>
              </w:rPr>
              <w:t>Настоящая аукционная документация является согласием на заключение договора субаренды.</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9A000000">
            <w:pPr>
              <w:widowControl w:val="1"/>
              <w:ind/>
              <w:jc w:val="both"/>
              <w:rPr>
                <w:rFonts w:ascii="PT Astra Serif" w:hAnsi="PT Astra Serif"/>
                <w:sz w:val="24"/>
              </w:rPr>
            </w:pPr>
            <w:r>
              <w:rPr>
                <w:rFonts w:ascii="PT Astra Serif" w:hAnsi="PT Astra Serif"/>
                <w:sz w:val="24"/>
              </w:rPr>
              <w:t xml:space="preserve">28. </w:t>
            </w:r>
            <w:r>
              <w:rPr>
                <w:rFonts w:ascii="PT Astra Serif" w:hAnsi="PT Astra Serif"/>
                <w:sz w:val="24"/>
              </w:rPr>
              <w:t>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p>
          <w:p w14:paraId="9B000000">
            <w:pPr>
              <w:widowControl w:val="1"/>
              <w:ind/>
              <w:jc w:val="both"/>
              <w:rPr>
                <w:rFonts w:ascii="PT Astra Serif" w:hAnsi="PT Astra Serif"/>
                <w:sz w:val="24"/>
              </w:rPr>
            </w:pP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9C000000">
            <w:pPr>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Техническое состояние имущества, право на которое передаётся по договору аренды, на момент окончания срока договора соответствует техническим характеристикам на момент заключения договора аренды. Стоимость неотделимых улучшений арендованного имущества, произведенных арендатором, возмещению не подлежит.</w:t>
            </w:r>
          </w:p>
          <w:p w14:paraId="9D000000">
            <w:pPr>
              <w:widowControl w:val="1"/>
              <w:ind w:firstLine="320" w:right="0"/>
              <w:jc w:val="both"/>
              <w:rPr>
                <w:rFonts w:ascii="PT Astra Serif" w:hAnsi="PT Astra Serif"/>
                <w:color w:val="000000"/>
                <w:sz w:val="24"/>
              </w:rPr>
            </w:pPr>
          </w:p>
        </w:tc>
      </w:tr>
      <w:tr>
        <w:tc>
          <w:tcPr>
            <w:tcW w:type="dxa" w:w="3402"/>
            <w:tcBorders>
              <w:left w:color="00000A" w:sz="6" w:val="single"/>
              <w:bottom w:color="00000A" w:sz="6" w:val="single"/>
              <w:right w:color="00000A" w:sz="6" w:val="single"/>
            </w:tcBorders>
            <w:shd w:fill="auto" w:val="clear"/>
            <w:tcMar>
              <w:top w:type="dxa" w:w="105"/>
              <w:left w:type="dxa" w:w="105"/>
              <w:bottom w:type="dxa" w:w="105"/>
              <w:right w:type="dxa" w:w="105"/>
            </w:tcMar>
          </w:tcPr>
          <w:p w14:paraId="9E000000">
            <w:pPr>
              <w:pStyle w:val="Style_5"/>
              <w:widowControl w:val="1"/>
              <w:spacing w:after="115" w:before="0" w:line="225" w:lineRule="atLeast"/>
              <w:ind/>
              <w:rPr>
                <w:rFonts w:ascii="PT Astra Serif" w:hAnsi="PT Astra Serif"/>
                <w:sz w:val="24"/>
              </w:rPr>
            </w:pPr>
            <w:r>
              <w:rPr>
                <w:rFonts w:ascii="PT Astra Serif" w:hAnsi="PT Astra Serif"/>
                <w:color w:val="000000"/>
                <w:sz w:val="24"/>
              </w:rPr>
              <w:t>29. Порядок рассмотрения заявок на участие в аукционе</w:t>
            </w:r>
          </w:p>
        </w:tc>
        <w:tc>
          <w:tcPr>
            <w:tcW w:type="dxa" w:w="6804"/>
            <w:tcBorders>
              <w:left w:color="00000A" w:sz="2" w:val="single"/>
              <w:bottom w:color="00000A" w:sz="6" w:val="single"/>
              <w:right w:color="00000A" w:sz="6" w:val="single"/>
            </w:tcBorders>
            <w:shd w:fill="auto" w:val="clear"/>
            <w:tcMar>
              <w:top w:type="dxa" w:w="105"/>
              <w:left w:type="dxa" w:w="105"/>
              <w:bottom w:type="dxa" w:w="105"/>
              <w:right w:type="dxa" w:w="105"/>
            </w:tcMar>
          </w:tcPr>
          <w:p w14:paraId="9F000000">
            <w:pPr>
              <w:pStyle w:val="Style_5"/>
              <w:widowControl w:val="1"/>
              <w:spacing w:line="225" w:lineRule="atLeast"/>
              <w:ind w:firstLine="179" w:right="0"/>
              <w:jc w:val="both"/>
              <w:rPr>
                <w:rFonts w:ascii="PT Astra Serif" w:hAnsi="PT Astra Serif"/>
                <w:color w:val="000000"/>
                <w:sz w:val="24"/>
              </w:rPr>
            </w:pPr>
            <w:r>
              <w:rPr>
                <w:rFonts w:ascii="PT Astra Serif" w:hAnsi="PT Astra Serif"/>
                <w:color w:val="000000"/>
                <w:sz w:val="24"/>
              </w:rPr>
              <w:t>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пунктом 23 Приказа ФАС России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14:paraId="A0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Срок рассмотрения заявок на участие в аукционе не может превышать двух дней с даты окончания срока подачи заявок.</w:t>
            </w:r>
          </w:p>
          <w:p w14:paraId="A1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A2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пунктом 29 Приказа ФАС России от 21.03.2023 № 147/23, которое оформляется протоколом рассмотрения заявок на участие в аукционе.</w:t>
            </w:r>
          </w:p>
          <w:p w14:paraId="A3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14:paraId="A4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A5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w:t>
            </w:r>
          </w:p>
          <w:p w14:paraId="A6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A7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14:paraId="A8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Организатором аукциона составляется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 аукционе всех заявителей.</w:t>
            </w:r>
          </w:p>
          <w:p w14:paraId="A9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Указанный протокол подписывается усиленной квалифицированной подписью лица и размещается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p>
          <w:p w14:paraId="AA000000">
            <w:pPr>
              <w:pStyle w:val="Style_5"/>
              <w:widowControl w:val="1"/>
              <w:spacing w:line="225" w:lineRule="atLeast"/>
              <w:ind w:firstLine="317" w:right="0"/>
              <w:jc w:val="both"/>
              <w:rPr>
                <w:rFonts w:ascii="PT Astra Serif" w:hAnsi="PT Astra Serif"/>
                <w:color w:val="000000"/>
                <w:sz w:val="24"/>
              </w:rPr>
            </w:pPr>
            <w:r>
              <w:rPr>
                <w:rFonts w:ascii="PT Astra Serif" w:hAnsi="PT Astra Serif"/>
                <w:color w:val="000000"/>
                <w:sz w:val="24"/>
              </w:rPr>
              <w:t>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AB000000">
            <w:pPr>
              <w:pStyle w:val="Style_5"/>
              <w:widowControl w:val="1"/>
              <w:spacing w:line="225" w:lineRule="atLeast"/>
              <w:ind w:firstLine="317" w:right="0"/>
              <w:jc w:val="both"/>
              <w:rPr>
                <w:rFonts w:ascii="PT Astra Serif" w:hAnsi="PT Astra Serif"/>
                <w:sz w:val="24"/>
              </w:rPr>
            </w:pPr>
            <w:r>
              <w:rPr>
                <w:rFonts w:ascii="PT Astra Serif" w:hAnsi="PT Astra Serif"/>
                <w:color w:val="000000"/>
                <w:sz w:val="24"/>
              </w:rPr>
              <w:t>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tc>
      </w:tr>
      <w:tr>
        <w:tc>
          <w:tcPr>
            <w:tcW w:type="dxa" w:w="3402"/>
            <w:tcBorders>
              <w:top w:color="00000A" w:sz="6" w:val="single"/>
              <w:left w:color="00000A" w:sz="6" w:val="single"/>
              <w:bottom w:color="00000A" w:sz="6" w:val="single"/>
              <w:right w:color="00000A" w:sz="6" w:val="single"/>
            </w:tcBorders>
            <w:shd w:fill="auto" w:val="clear"/>
            <w:tcMar>
              <w:top w:type="dxa" w:w="105"/>
              <w:left w:type="dxa" w:w="105"/>
              <w:bottom w:type="dxa" w:w="105"/>
              <w:right w:type="dxa" w:w="105"/>
            </w:tcMar>
          </w:tcPr>
          <w:p w14:paraId="AC000000">
            <w:pPr>
              <w:widowControl w:val="1"/>
              <w:spacing w:after="115" w:before="0" w:line="225" w:lineRule="atLeast"/>
              <w:ind/>
              <w:rPr>
                <w:rFonts w:ascii="PT Astra Serif" w:hAnsi="PT Astra Serif"/>
                <w:sz w:val="24"/>
              </w:rPr>
            </w:pPr>
            <w:r>
              <w:rPr>
                <w:rFonts w:ascii="PT Astra Serif" w:hAnsi="PT Astra Serif"/>
                <w:color w:val="000000"/>
                <w:sz w:val="24"/>
              </w:rPr>
              <w:t>30. Порядок проведения аукциона</w:t>
            </w:r>
          </w:p>
        </w:tc>
        <w:tc>
          <w:tcPr>
            <w:tcW w:type="dxa" w:w="6804"/>
            <w:tcBorders>
              <w:top w:color="00000A" w:sz="6" w:val="single"/>
              <w:left w:color="00000A" w:sz="2" w:val="single"/>
              <w:bottom w:color="00000A" w:sz="6" w:val="single"/>
              <w:right w:color="00000A" w:sz="6" w:val="single"/>
            </w:tcBorders>
            <w:shd w:fill="auto" w:val="clear"/>
            <w:tcMar>
              <w:top w:type="dxa" w:w="105"/>
              <w:left w:type="dxa" w:w="105"/>
              <w:bottom w:type="dxa" w:w="105"/>
              <w:right w:type="dxa" w:w="105"/>
            </w:tcMar>
          </w:tcPr>
          <w:p w14:paraId="AD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В аукционе могут участвовать только заявители, признанные участниками аукциона.</w:t>
            </w:r>
          </w:p>
          <w:p w14:paraId="AE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Аукцион проводится на электронной площадке путем повышения начальной (минимальной) цены договора (цены лота), указанной в извещении о проведении аукциона, на «шаг аукциона».</w:t>
            </w:r>
          </w:p>
          <w:p w14:paraId="AF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«Шаг аукциона» устанавливается в размере пяти процентов начальной (минимальной) цены договора (цены лота), указанной в извещении о проведении аукциона.</w:t>
            </w:r>
          </w:p>
          <w:p w14:paraId="B0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При проведении аукциона устанавливается время приема предложений участников аукциона о цене договора (цене лота), составляющее </w:t>
            </w:r>
            <w:r>
              <w:rPr>
                <w:rFonts w:ascii="PT Astra Serif" w:hAnsi="PT Astra Serif"/>
                <w:b w:val="1"/>
                <w:color w:val="000000"/>
                <w:sz w:val="24"/>
                <w:u w:val="single"/>
              </w:rPr>
              <w:t>60 минут от начала проведения такого аукциона, а также 20 минут</w:t>
            </w:r>
            <w:r>
              <w:rPr>
                <w:rFonts w:ascii="PT Astra Serif" w:hAnsi="PT Astra Serif"/>
                <w:color w:val="000000"/>
                <w:sz w:val="24"/>
              </w:rPr>
              <w:t xml:space="preserve"> после поступления последнего предложения о цене договора (цены лота).</w:t>
            </w:r>
          </w:p>
          <w:p w14:paraId="B1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14:paraId="B2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B3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Победителем аукциона признается лицо, предложившее наиболее высокую цену договора.</w:t>
            </w:r>
          </w:p>
          <w:p w14:paraId="B4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14:paraId="B5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w:t>
            </w:r>
          </w:p>
          <w:p w14:paraId="B6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Протокол подведения итогов аукциона подписывается усиленной квалифицированной подписью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14:paraId="B7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размещения протокола проведения итогов аукциона на официальном сайте.</w:t>
            </w:r>
          </w:p>
          <w:p w14:paraId="B8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14:paraId="B9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протокол о признании аукциона несостоявшимся.</w:t>
            </w:r>
          </w:p>
          <w:p w14:paraId="BA000000">
            <w:pPr>
              <w:pStyle w:val="Style_5"/>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  </w:t>
            </w:r>
            <w:r>
              <w:rPr>
                <w:rFonts w:ascii="PT Astra Serif" w:hAnsi="PT Astra Serif"/>
                <w:color w:val="000000"/>
                <w:sz w:val="24"/>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BB000000">
            <w:pPr>
              <w:pStyle w:val="Style_5"/>
              <w:widowControl w:val="1"/>
              <w:spacing w:after="115" w:before="0" w:line="225" w:lineRule="atLeast"/>
              <w:ind w:firstLine="317" w:right="0"/>
              <w:jc w:val="both"/>
              <w:rPr>
                <w:rFonts w:ascii="PT Astra Serif" w:hAnsi="PT Astra Serif"/>
                <w:sz w:val="24"/>
              </w:rPr>
            </w:pPr>
            <w:r>
              <w:rPr>
                <w:rFonts w:ascii="PT Astra Serif" w:hAnsi="PT Astra Serif"/>
                <w:color w:val="000000"/>
                <w:sz w:val="24"/>
              </w:rPr>
              <w:t xml:space="preserve"> </w:t>
            </w:r>
            <w:r>
              <w:rPr>
                <w:rFonts w:ascii="PT Astra Serif" w:hAnsi="PT Astra Serif"/>
                <w:color w:val="000000"/>
                <w:sz w:val="24"/>
              </w:rPr>
              <w:t>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tc>
      </w:tr>
      <w:tr>
        <w:trPr>
          <w:trHeight w:hRule="atLeast" w:val="937"/>
        </w:trPr>
        <w:tc>
          <w:tcPr>
            <w:tcW w:type="dxa" w:w="3402"/>
            <w:tcBorders>
              <w:top w:color="00000A" w:sz="6" w:val="single"/>
              <w:left w:color="00000A" w:sz="6" w:val="single"/>
              <w:bottom w:color="00000A" w:sz="6" w:val="single"/>
              <w:right w:color="00000A" w:sz="6" w:val="single"/>
            </w:tcBorders>
            <w:shd w:fill="auto" w:val="clear"/>
            <w:tcMar>
              <w:top w:type="dxa" w:w="105"/>
              <w:left w:type="dxa" w:w="105"/>
              <w:bottom w:type="dxa" w:w="105"/>
              <w:right w:type="dxa" w:w="105"/>
            </w:tcMar>
          </w:tcPr>
          <w:p w14:paraId="BC000000">
            <w:pPr>
              <w:widowControl w:val="1"/>
              <w:spacing w:after="115" w:before="0" w:line="225" w:lineRule="atLeast"/>
              <w:ind/>
              <w:rPr>
                <w:rFonts w:ascii="PT Astra Serif" w:hAnsi="PT Astra Serif"/>
                <w:sz w:val="24"/>
              </w:rPr>
            </w:pPr>
            <w:r>
              <w:rPr>
                <w:rFonts w:ascii="PT Astra Serif" w:hAnsi="PT Astra Serif"/>
                <w:color w:val="000000"/>
                <w:sz w:val="24"/>
              </w:rPr>
              <w:t>31.Порядок определения победителя</w:t>
            </w:r>
          </w:p>
        </w:tc>
        <w:tc>
          <w:tcPr>
            <w:tcW w:type="dxa" w:w="6804"/>
            <w:tcBorders>
              <w:top w:color="00000A" w:sz="6" w:val="single"/>
              <w:left w:color="00000A" w:sz="2" w:val="single"/>
              <w:bottom w:color="00000A" w:sz="6" w:val="single"/>
              <w:right w:color="00000A" w:sz="6" w:val="single"/>
            </w:tcBorders>
            <w:shd w:fill="auto" w:val="clear"/>
            <w:tcMar>
              <w:top w:type="dxa" w:w="105"/>
              <w:left w:type="dxa" w:w="105"/>
              <w:bottom w:type="dxa" w:w="105"/>
              <w:right w:type="dxa" w:w="105"/>
            </w:tcMar>
          </w:tcPr>
          <w:p w14:paraId="BD000000">
            <w:pPr>
              <w:pStyle w:val="Style_5"/>
              <w:widowControl w:val="1"/>
              <w:spacing w:after="115" w:before="0" w:line="225" w:lineRule="atLeast"/>
              <w:ind w:firstLine="317" w:right="0"/>
              <w:jc w:val="both"/>
              <w:rPr>
                <w:rFonts w:ascii="PT Astra Serif" w:hAnsi="PT Astra Serif"/>
                <w:sz w:val="24"/>
              </w:rPr>
            </w:pPr>
            <w:r>
              <w:rPr>
                <w:rFonts w:ascii="PT Astra Serif" w:hAnsi="PT Astra Serif"/>
                <w:sz w:val="24"/>
              </w:rPr>
              <w:t>Победителем аукциона признается участник, предложивший наиболее высокую цену.</w:t>
            </w:r>
          </w:p>
        </w:tc>
      </w:tr>
      <w:tr>
        <w:trPr>
          <w:trHeight w:hRule="atLeast" w:val="937"/>
        </w:trPr>
        <w:tc>
          <w:tcPr>
            <w:tcW w:type="dxa" w:w="3402"/>
            <w:tcBorders>
              <w:top w:color="00000A" w:sz="6" w:val="single"/>
              <w:left w:color="00000A" w:sz="6" w:val="single"/>
              <w:bottom w:color="00000A" w:sz="6" w:val="single"/>
              <w:right w:color="00000A" w:sz="6" w:val="single"/>
            </w:tcBorders>
            <w:shd w:fill="auto" w:val="clear"/>
            <w:tcMar>
              <w:top w:type="dxa" w:w="105"/>
              <w:left w:type="dxa" w:w="105"/>
              <w:bottom w:type="dxa" w:w="105"/>
              <w:right w:type="dxa" w:w="105"/>
            </w:tcMar>
          </w:tcPr>
          <w:p w14:paraId="BE000000">
            <w:pPr>
              <w:widowControl w:val="1"/>
              <w:spacing w:after="115" w:before="0" w:line="225" w:lineRule="atLeast"/>
              <w:ind/>
              <w:rPr>
                <w:rFonts w:ascii="PT Astra Serif" w:hAnsi="PT Astra Serif"/>
                <w:sz w:val="24"/>
              </w:rPr>
            </w:pPr>
            <w:r>
              <w:rPr>
                <w:rFonts w:ascii="PT Astra Serif" w:hAnsi="PT Astra Serif"/>
                <w:color w:val="000000"/>
                <w:sz w:val="24"/>
              </w:rPr>
              <w:t xml:space="preserve">32. Место и срок подведения итогов </w:t>
            </w:r>
          </w:p>
        </w:tc>
        <w:tc>
          <w:tcPr>
            <w:tcW w:type="dxa" w:w="6804"/>
            <w:tcBorders>
              <w:top w:color="00000A" w:sz="6" w:val="single"/>
              <w:left w:color="00000A" w:sz="2" w:val="single"/>
              <w:bottom w:color="00000A" w:sz="6" w:val="single"/>
              <w:right w:color="00000A" w:sz="6" w:val="single"/>
            </w:tcBorders>
            <w:shd w:fill="auto" w:val="clear"/>
            <w:tcMar>
              <w:top w:type="dxa" w:w="105"/>
              <w:left w:type="dxa" w:w="105"/>
              <w:bottom w:type="dxa" w:w="105"/>
              <w:right w:type="dxa" w:w="105"/>
            </w:tcMar>
          </w:tcPr>
          <w:p w14:paraId="BF000000">
            <w:pPr>
              <w:pStyle w:val="Style_5"/>
              <w:widowControl w:val="1"/>
              <w:spacing w:after="115" w:before="0" w:line="225" w:lineRule="atLeast"/>
              <w:ind w:firstLine="317" w:right="0"/>
              <w:jc w:val="both"/>
              <w:rPr>
                <w:rFonts w:ascii="PT Astra Serif" w:hAnsi="PT Astra Serif"/>
                <w:sz w:val="24"/>
              </w:rPr>
            </w:pPr>
            <w:r>
              <w:rPr>
                <w:rFonts w:ascii="PT Astra Serif" w:hAnsi="PT Astra Serif"/>
                <w:sz w:val="24"/>
              </w:rPr>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14:paraId="C0000000">
            <w:pPr>
              <w:widowControl w:val="1"/>
              <w:spacing w:line="225" w:lineRule="atLeast"/>
              <w:ind w:firstLine="317" w:right="0"/>
              <w:jc w:val="both"/>
              <w:rPr>
                <w:rFonts w:ascii="PT Astra Serif" w:hAnsi="PT Astra Serif"/>
                <w:sz w:val="24"/>
              </w:rPr>
            </w:pPr>
            <w:r>
              <w:rPr>
                <w:rFonts w:ascii="PT Astra Serif" w:hAnsi="PT Astra Serif"/>
                <w:sz w:val="24"/>
              </w:rPr>
              <w:t>Подведение итогов аукциона</w:t>
            </w:r>
            <w:r>
              <w:rPr>
                <w:rFonts w:ascii="PT Astra Serif" w:hAnsi="PT Astra Serif"/>
                <w:sz w:val="24"/>
              </w:rPr>
              <w:t xml:space="preserve"> </w:t>
            </w:r>
            <w:r>
              <w:rPr>
                <w:rFonts w:ascii="PT Astra Serif" w:hAnsi="PT Astra Serif"/>
                <w:sz w:val="24"/>
              </w:rPr>
              <w:t xml:space="preserve">на электронной площадке </w:t>
            </w:r>
            <w:r>
              <w:rPr>
                <w:rFonts w:ascii="PT Astra Serif" w:hAnsi="PT Astra Serif"/>
                <w:sz w:val="24"/>
              </w:rPr>
              <w:t>https://lot-online.ru/</w:t>
            </w:r>
            <w:r>
              <w:rPr>
                <w:rFonts w:ascii="PT Astra Serif" w:hAnsi="PT Astra Serif"/>
                <w:sz w:val="24"/>
              </w:rPr>
              <w:t xml:space="preserve">: процедура аукциона считается завершенной со времени подписания Продавцом протокола об итогах. </w:t>
            </w:r>
          </w:p>
        </w:tc>
      </w:tr>
      <w:tr>
        <w:tc>
          <w:tcPr>
            <w:tcW w:type="dxa" w:w="3402"/>
            <w:tcBorders>
              <w:top w:color="00000A" w:sz="6" w:val="single"/>
              <w:left w:color="00000A" w:sz="6" w:val="single"/>
              <w:bottom w:color="00000A" w:sz="6" w:val="single"/>
              <w:right w:color="00000A" w:sz="6" w:val="single"/>
            </w:tcBorders>
            <w:shd w:fill="auto" w:val="clear"/>
            <w:tcMar>
              <w:top w:type="dxa" w:w="105"/>
              <w:left w:type="dxa" w:w="105"/>
              <w:bottom w:type="dxa" w:w="105"/>
              <w:right w:type="dxa" w:w="105"/>
            </w:tcMar>
          </w:tcPr>
          <w:p w14:paraId="C1000000">
            <w:pPr>
              <w:widowControl w:val="1"/>
              <w:spacing w:after="115" w:before="0" w:line="225" w:lineRule="atLeast"/>
              <w:ind/>
              <w:rPr>
                <w:rFonts w:ascii="PT Astra Serif" w:hAnsi="PT Astra Serif"/>
                <w:sz w:val="24"/>
              </w:rPr>
            </w:pPr>
            <w:r>
              <w:rPr>
                <w:rFonts w:ascii="PT Astra Serif" w:hAnsi="PT Astra Serif"/>
                <w:color w:val="000000"/>
                <w:sz w:val="24"/>
              </w:rPr>
              <w:t>33. Аукцион признается несостоявшимся в следующих случаях</w:t>
            </w:r>
          </w:p>
        </w:tc>
        <w:tc>
          <w:tcPr>
            <w:tcW w:type="dxa" w:w="6804"/>
            <w:tcBorders>
              <w:top w:color="00000A" w:sz="6" w:val="single"/>
              <w:left w:color="00000A" w:sz="2" w:val="single"/>
              <w:bottom w:color="00000A" w:sz="6" w:val="single"/>
              <w:right w:color="00000A" w:sz="6" w:val="single"/>
            </w:tcBorders>
            <w:shd w:fill="auto" w:val="clear"/>
            <w:tcMar>
              <w:top w:type="dxa" w:w="105"/>
              <w:left w:type="dxa" w:w="105"/>
              <w:bottom w:type="dxa" w:w="105"/>
              <w:right w:type="dxa" w:w="105"/>
            </w:tcMar>
          </w:tcPr>
          <w:p w14:paraId="C2000000">
            <w:pPr>
              <w:pStyle w:val="Style_5"/>
              <w:widowControl w:val="1"/>
              <w:spacing w:after="115" w:before="0"/>
              <w:ind w:firstLine="317" w:right="0"/>
              <w:jc w:val="both"/>
              <w:rPr>
                <w:rFonts w:ascii="PT Astra Serif" w:hAnsi="PT Astra Serif"/>
                <w:color w:val="000000"/>
                <w:sz w:val="24"/>
              </w:rPr>
            </w:pPr>
            <w:r>
              <w:rPr>
                <w:rFonts w:ascii="PT Astra Serif" w:hAnsi="PT Astra Serif"/>
                <w:color w:val="000000"/>
                <w:sz w:val="24"/>
              </w:rPr>
              <w:t>1. Не было подано ни одной заявки на участие либо ни один из претендентов не признан участником;</w:t>
            </w:r>
          </w:p>
          <w:p w14:paraId="C3000000">
            <w:pPr>
              <w:pStyle w:val="Style_5"/>
              <w:widowControl w:val="1"/>
              <w:spacing w:after="115" w:before="0"/>
              <w:ind w:firstLine="317" w:right="0"/>
              <w:jc w:val="both"/>
              <w:rPr>
                <w:rFonts w:ascii="PT Astra Serif" w:hAnsi="PT Astra Serif"/>
                <w:sz w:val="24"/>
              </w:rPr>
            </w:pPr>
            <w:r>
              <w:rPr>
                <w:rFonts w:ascii="PT Astra Serif" w:hAnsi="PT Astra Serif"/>
                <w:color w:val="000000"/>
                <w:sz w:val="24"/>
              </w:rPr>
              <w:t>2.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w:t>
            </w:r>
          </w:p>
        </w:tc>
      </w:tr>
      <w:t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C4000000">
            <w:pPr>
              <w:widowControl w:val="1"/>
              <w:spacing w:after="115" w:before="0" w:line="225" w:lineRule="atLeast"/>
              <w:ind/>
              <w:rPr>
                <w:rFonts w:ascii="PT Astra Serif" w:hAnsi="PT Astra Serif"/>
                <w:sz w:val="24"/>
              </w:rPr>
            </w:pPr>
            <w:r>
              <w:rPr>
                <w:rFonts w:ascii="PT Astra Serif" w:hAnsi="PT Astra Serif"/>
                <w:color w:val="000000"/>
                <w:sz w:val="24"/>
              </w:rPr>
              <w:t>34. Условия и сроки заключения и платежа по договору (ПРИЛОЖЕНИЕ  №1 ПРОЕКТА ДОГОВОРА)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C5000000">
            <w:pPr>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1. Заключение договора аренды осуществляется в порядке, предусмотренном Гражданским кодексом Российской Федерации, иными федеральными законами и нормативно-правовыми актами, а также Документацией об аукционе.</w:t>
            </w:r>
          </w:p>
          <w:p w14:paraId="C6000000">
            <w:pPr>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 xml:space="preserve">2. Победитель аукциона или Единственный участник аукциона обязан подписать договор аренды в срок не ранее чем через десять дней и не позднее чем через пятнадцать дней со дня размещения информации о результатах аукциона на официальном сайте торгов. </w:t>
            </w:r>
          </w:p>
          <w:p w14:paraId="C7000000">
            <w:pPr>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3. Форма, срок и порядок оплаты по договору аренды:                               в соответствии с условиями договора аренды, безналичное перечисление денежных средств ежемесячно в бюджет                      не позднее десятого числа месяца, следующего за расчетным, по реквизитам, указанным в договоре. В платежном документе обязательно должны быть указаны: номер договора аренды, сумма арендной платы и период, за который производится оплата аренды.</w:t>
            </w:r>
          </w:p>
          <w:p w14:paraId="C8000000">
            <w:pPr>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4. В случае если Победитель аукциона или Единственный Участник аукциона в срок, предусмотренный Документацией об аукционе, не представил Арендодателю подписанный договор аренды, Победитель аукциона, Единственный участник аукциона признается уклонившимся от заключения договора аренды.</w:t>
            </w:r>
          </w:p>
          <w:p w14:paraId="C9000000">
            <w:pPr>
              <w:widowControl w:val="1"/>
              <w:spacing w:after="115" w:before="0" w:line="225" w:lineRule="atLeast"/>
              <w:ind w:firstLine="317" w:right="0"/>
              <w:jc w:val="both"/>
              <w:rPr>
                <w:rFonts w:ascii="PT Astra Serif" w:hAnsi="PT Astra Serif"/>
                <w:color w:val="000000"/>
                <w:sz w:val="24"/>
              </w:rPr>
            </w:pPr>
            <w:r>
              <w:rPr>
                <w:rFonts w:ascii="PT Astra Serif" w:hAnsi="PT Astra Serif"/>
                <w:color w:val="000000"/>
                <w:sz w:val="24"/>
              </w:rPr>
              <w:t>5. В случае если Участник, сделавший предпоследнее предложение о цене договора (цене лота) в срок, предусмотренный Документацией об аукционе, не представил Организатору аукциона подписанный договор аренды, такой Участник аукциона признается уклонившимся от заключения договора аренды.</w:t>
            </w:r>
          </w:p>
          <w:p w14:paraId="CA000000">
            <w:pPr>
              <w:widowControl w:val="1"/>
              <w:ind w:firstLine="317" w:right="0"/>
              <w:jc w:val="both"/>
              <w:rPr>
                <w:rFonts w:ascii="PT Astra Serif" w:hAnsi="PT Astra Serif"/>
                <w:sz w:val="24"/>
              </w:rPr>
            </w:pPr>
            <w:r>
              <w:rPr>
                <w:rFonts w:ascii="PT Astra Serif" w:hAnsi="PT Astra Serif"/>
                <w:color w:val="000000"/>
                <w:sz w:val="24"/>
              </w:rPr>
              <w:t>6. К Документации об аукционе прилагается проект договора аренды в отношении каждого лота, который является неотъемлемой частью Документации об аукционе.</w:t>
            </w:r>
          </w:p>
        </w:tc>
      </w:tr>
      <w:tr>
        <w:trPr>
          <w:trHeight w:hRule="atLeast" w:val="465"/>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CB000000">
            <w:pPr>
              <w:widowControl w:val="1"/>
              <w:spacing w:line="225" w:lineRule="atLeast"/>
              <w:ind/>
              <w:rPr>
                <w:rFonts w:ascii="PT Astra Serif" w:hAnsi="PT Astra Serif"/>
                <w:sz w:val="24"/>
              </w:rPr>
            </w:pPr>
            <w:r>
              <w:rPr>
                <w:rFonts w:ascii="PT Astra Serif" w:hAnsi="PT Astra Serif"/>
                <w:color w:val="000000"/>
                <w:sz w:val="24"/>
              </w:rPr>
              <w:t>35. Отказ от проведения процедуры аукциона</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CC000000">
            <w:pPr>
              <w:widowControl w:val="1"/>
              <w:ind w:firstLine="317" w:right="0"/>
              <w:jc w:val="both"/>
              <w:rPr>
                <w:rFonts w:ascii="PT Astra Serif" w:hAnsi="PT Astra Serif"/>
                <w:color w:val="000000"/>
                <w:sz w:val="24"/>
              </w:rPr>
            </w:pPr>
            <w:r>
              <w:rPr>
                <w:rFonts w:ascii="PT Astra Serif" w:hAnsi="PT Astra Serif"/>
                <w:color w:val="000000"/>
                <w:sz w:val="24"/>
                <w:highlight w:val="white"/>
              </w:rPr>
              <w:t>Отказаться от проведения аукциона организатор вправе в любое время, но не позднее чем за 5 дней до даты окончания срока приема заявок.</w:t>
            </w:r>
          </w:p>
          <w:p w14:paraId="CD000000">
            <w:pPr>
              <w:widowControl w:val="1"/>
              <w:ind w:firstLine="317" w:right="0"/>
              <w:jc w:val="both"/>
              <w:rPr>
                <w:rFonts w:ascii="PT Astra Serif" w:hAnsi="PT Astra Serif"/>
                <w:sz w:val="24"/>
              </w:rPr>
            </w:pPr>
            <w:r>
              <w:rPr>
                <w:rFonts w:ascii="PT Astra Serif" w:hAnsi="PT Astra Serif"/>
                <w:color w:val="000000"/>
                <w:sz w:val="24"/>
              </w:rPr>
              <w:t xml:space="preserve">В случае принятия решения об отказе в проведении торгов, Организатор размещает его на официальном сайте РФ для размещения информации о проведении торгов </w:t>
            </w:r>
            <w:r>
              <w:rPr>
                <w:rStyle w:val="Style_6_ch"/>
                <w:rFonts w:ascii="PT Astra Serif" w:hAnsi="PT Astra Serif"/>
                <w:sz w:val="24"/>
              </w:rPr>
              <w:fldChar w:fldCharType="begin"/>
            </w:r>
            <w:r>
              <w:rPr>
                <w:rStyle w:val="Style_6_ch"/>
                <w:rFonts w:ascii="PT Astra Serif" w:hAnsi="PT Astra Serif"/>
                <w:sz w:val="24"/>
              </w:rPr>
              <w:instrText>HYPERLINK "http://www.torgi.gov.ru/"</w:instrText>
            </w:r>
            <w:r>
              <w:rPr>
                <w:rStyle w:val="Style_6_ch"/>
                <w:rFonts w:ascii="PT Astra Serif" w:hAnsi="PT Astra Serif"/>
                <w:sz w:val="24"/>
              </w:rPr>
              <w:fldChar w:fldCharType="separate"/>
            </w:r>
            <w:r>
              <w:rPr>
                <w:rStyle w:val="Style_6_ch"/>
                <w:rFonts w:ascii="PT Astra Serif" w:hAnsi="PT Astra Serif"/>
                <w:sz w:val="24"/>
              </w:rPr>
              <w:t>www.torgi.gov.ru</w:t>
            </w:r>
            <w:r>
              <w:rPr>
                <w:rStyle w:val="Style_6_ch"/>
                <w:rFonts w:ascii="PT Astra Serif" w:hAnsi="PT Astra Serif"/>
                <w:sz w:val="24"/>
              </w:rPr>
              <w:fldChar w:fldCharType="end"/>
            </w:r>
            <w:r>
              <w:rPr>
                <w:rFonts w:ascii="PT Astra Serif" w:hAnsi="PT Astra Serif"/>
                <w:color w:val="000000"/>
                <w:sz w:val="24"/>
              </w:rPr>
              <w:t xml:space="preserve">, электронной площадке в сети Интернет </w:t>
            </w:r>
            <w:r>
              <w:rPr>
                <w:rStyle w:val="Style_6_ch"/>
                <w:rFonts w:ascii="PT Astra Serif" w:hAnsi="PT Astra Serif"/>
                <w:sz w:val="24"/>
              </w:rPr>
              <w:fldChar w:fldCharType="begin"/>
            </w:r>
            <w:r>
              <w:rPr>
                <w:rStyle w:val="Style_6_ch"/>
                <w:rFonts w:ascii="PT Astra Serif" w:hAnsi="PT Astra Serif"/>
                <w:sz w:val="24"/>
              </w:rPr>
              <w:instrText>HYPERLINK "https://lot-online.ru/"</w:instrText>
            </w:r>
            <w:r>
              <w:rPr>
                <w:rStyle w:val="Style_6_ch"/>
                <w:rFonts w:ascii="PT Astra Serif" w:hAnsi="PT Astra Serif"/>
                <w:sz w:val="24"/>
              </w:rPr>
              <w:fldChar w:fldCharType="separate"/>
            </w:r>
            <w:r>
              <w:rPr>
                <w:rStyle w:val="Style_6_ch"/>
                <w:rFonts w:ascii="PT Astra Serif" w:hAnsi="PT Astra Serif"/>
                <w:sz w:val="24"/>
              </w:rPr>
              <w:t>https://lot-online.ru/</w:t>
            </w:r>
            <w:r>
              <w:rPr>
                <w:rStyle w:val="Style_6_ch"/>
                <w:rFonts w:ascii="PT Astra Serif" w:hAnsi="PT Astra Serif"/>
                <w:sz w:val="24"/>
              </w:rPr>
              <w:fldChar w:fldCharType="end"/>
            </w:r>
            <w:r>
              <w:rPr>
                <w:rFonts w:ascii="PT Astra Serif" w:hAnsi="PT Astra Serif"/>
                <w:color w:val="000000"/>
                <w:sz w:val="24"/>
              </w:rPr>
              <w:t xml:space="preserve">, </w:t>
            </w:r>
            <w:r>
              <w:rPr>
                <w:rFonts w:ascii="PT Astra Serif" w:hAnsi="PT Astra Serif"/>
                <w:color w:val="00000A"/>
                <w:sz w:val="24"/>
              </w:rPr>
              <w:t xml:space="preserve">сайте организатора торгов </w:t>
            </w:r>
            <w:r>
              <w:rPr>
                <w:rStyle w:val="Style_6_ch"/>
                <w:rFonts w:ascii="PT Astra Serif" w:hAnsi="PT Astra Serif"/>
                <w:sz w:val="24"/>
              </w:rPr>
              <w:fldChar w:fldCharType="begin"/>
            </w:r>
            <w:r>
              <w:rPr>
                <w:rStyle w:val="Style_6_ch"/>
                <w:rFonts w:ascii="PT Astra Serif" w:hAnsi="PT Astra Serif"/>
                <w:sz w:val="24"/>
              </w:rPr>
              <w:instrText>HYPERLINK "http://www.imkursk.ru/"</w:instrText>
            </w:r>
            <w:r>
              <w:rPr>
                <w:rStyle w:val="Style_6_ch"/>
                <w:rFonts w:ascii="PT Astra Serif" w:hAnsi="PT Astra Serif"/>
                <w:sz w:val="24"/>
              </w:rPr>
              <w:fldChar w:fldCharType="separate"/>
            </w:r>
            <w:r>
              <w:rPr>
                <w:rStyle w:val="Style_6_ch"/>
                <w:rFonts w:ascii="PT Astra Serif" w:hAnsi="PT Astra Serif"/>
                <w:sz w:val="24"/>
              </w:rPr>
              <w:t>www.imkursk.ru</w:t>
            </w:r>
            <w:r>
              <w:rPr>
                <w:rStyle w:val="Style_6_ch"/>
                <w:rFonts w:ascii="PT Astra Serif" w:hAnsi="PT Astra Serif"/>
                <w:sz w:val="24"/>
              </w:rPr>
              <w:fldChar w:fldCharType="end"/>
            </w:r>
            <w:r>
              <w:rPr>
                <w:rFonts w:ascii="PT Astra Serif" w:hAnsi="PT Astra Serif"/>
                <w:color w:val="000000"/>
                <w:sz w:val="24"/>
              </w:rPr>
              <w:t xml:space="preserve">, направляет уведомления участникам торгов (лицам, подавшим заявки на участие). </w:t>
            </w:r>
          </w:p>
        </w:tc>
      </w:tr>
      <w:tr>
        <w:trPr>
          <w:trHeight w:hRule="atLeast" w:val="1067"/>
        </w:trPr>
        <w:tc>
          <w:tcPr>
            <w:tcW w:type="dxa" w:w="3402"/>
            <w:tcBorders>
              <w:left w:color="00000A" w:sz="6" w:val="single"/>
              <w:bottom w:color="00000A" w:sz="2" w:val="single"/>
              <w:right w:color="00000A" w:sz="6" w:val="single"/>
            </w:tcBorders>
            <w:shd w:fill="auto" w:val="clear"/>
            <w:tcMar>
              <w:top w:type="dxa" w:w="105"/>
              <w:left w:type="dxa" w:w="105"/>
              <w:bottom w:type="dxa" w:w="105"/>
              <w:right w:type="dxa" w:w="105"/>
            </w:tcMar>
          </w:tcPr>
          <w:p w14:paraId="CE000000">
            <w:pPr>
              <w:widowControl w:val="1"/>
              <w:spacing w:line="225" w:lineRule="atLeast"/>
              <w:ind/>
              <w:rPr>
                <w:rFonts w:ascii="PT Astra Serif" w:hAnsi="PT Astra Serif"/>
                <w:sz w:val="24"/>
              </w:rPr>
            </w:pPr>
            <w:r>
              <w:rPr>
                <w:rFonts w:ascii="PT Astra Serif" w:hAnsi="PT Astra Serif"/>
                <w:color w:val="000000"/>
                <w:sz w:val="24"/>
              </w:rPr>
              <w:t>36. Заключительные положения</w:t>
            </w:r>
          </w:p>
        </w:tc>
        <w:tc>
          <w:tcPr>
            <w:tcW w:type="dxa" w:w="6804"/>
            <w:tcBorders>
              <w:left w:color="00000A" w:sz="2" w:val="single"/>
              <w:bottom w:color="00000A" w:sz="2" w:val="single"/>
              <w:right w:color="00000A" w:sz="6" w:val="single"/>
            </w:tcBorders>
            <w:shd w:fill="auto" w:val="clear"/>
            <w:tcMar>
              <w:top w:type="dxa" w:w="105"/>
              <w:left w:type="dxa" w:w="105"/>
              <w:bottom w:type="dxa" w:w="105"/>
              <w:right w:type="dxa" w:w="105"/>
            </w:tcMar>
          </w:tcPr>
          <w:p w14:paraId="CF000000">
            <w:pPr>
              <w:widowControl w:val="1"/>
              <w:spacing w:after="115" w:before="0" w:line="225" w:lineRule="atLeast"/>
              <w:ind w:firstLine="317" w:right="0"/>
              <w:jc w:val="both"/>
              <w:rPr>
                <w:rFonts w:ascii="PT Astra Serif" w:hAnsi="PT Astra Serif"/>
                <w:sz w:val="24"/>
              </w:rPr>
            </w:pPr>
            <w:r>
              <w:rPr>
                <w:rFonts w:ascii="PT Astra Serif" w:hAnsi="PT Astra Serif"/>
                <w:color w:val="000000"/>
                <w:sz w:val="24"/>
              </w:rPr>
              <w:t>Все вопросы, касающиеся проведения аукциона в электронной форме не нашедшие отражения в настоящем информационном сообщении, регулируются законодательством Российской Федерации.</w:t>
            </w:r>
          </w:p>
        </w:tc>
      </w:tr>
    </w:tbl>
    <w:p w14:paraId="D0000000">
      <w:pPr>
        <w:widowControl w:val="1"/>
        <w:ind/>
        <w:jc w:val="right"/>
        <w:rPr>
          <w:rFonts w:ascii="Times New Roman" w:hAnsi="Times New Roman"/>
          <w:b w:val="1"/>
        </w:rPr>
      </w:pPr>
    </w:p>
    <w:sectPr>
      <w:pgSz w:h="16838" w:orient="portrait" w:w="11906"/>
      <w:pgMar w:bottom="993" w:footer="708" w:header="708" w:left="1134" w:right="1134" w:top="709"/>
      <w:pgNumType w:fmt="decimal"/>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suff w:val="nothing"/>
      <w:lvlJc w:val="left"/>
      <w:pPr>
        <w:widowControl w:val="1"/>
        <w:tabs>
          <w:tab w:leader="none" w:pos="0" w:val="left"/>
        </w:tabs>
        <w:ind w:firstLine="0" w:left="0"/>
      </w:pPr>
    </w:lvl>
    <w:lvl w:ilvl="1">
      <w:start w:val="1"/>
      <w:numFmt w:val="decimal"/>
      <w:suff w:val="nothing"/>
      <w:lvlJc w:val="left"/>
      <w:pPr>
        <w:widowControl w:val="1"/>
        <w:tabs>
          <w:tab w:leader="none" w:pos="0" w:val="left"/>
        </w:tabs>
        <w:ind w:firstLine="0" w:left="0"/>
      </w:pPr>
    </w:lvl>
    <w:lvl w:ilvl="2">
      <w:start w:val="1"/>
      <w:numFmt w:val="decimal"/>
      <w:suff w:val="nothing"/>
      <w:lvlJc w:val="left"/>
      <w:pPr>
        <w:widowControl w:val="1"/>
        <w:tabs>
          <w:tab w:leader="none" w:pos="0" w:val="left"/>
        </w:tabs>
        <w:ind w:firstLine="0" w:left="0"/>
      </w:pPr>
    </w:lvl>
    <w:lvl w:ilvl="3">
      <w:start w:val="1"/>
      <w:numFmt w:val="decimal"/>
      <w:suff w:val="nothing"/>
      <w:lvlJc w:val="left"/>
      <w:pPr>
        <w:widowControl w:val="1"/>
        <w:tabs>
          <w:tab w:leader="none" w:pos="0" w:val="left"/>
        </w:tabs>
        <w:ind w:firstLine="0" w:left="0"/>
      </w:pPr>
    </w:lvl>
    <w:lvl w:ilvl="4">
      <w:start w:val="1"/>
      <w:numFmt w:val="decimal"/>
      <w:suff w:val="nothing"/>
      <w:lvlJc w:val="left"/>
      <w:pPr>
        <w:widowControl w:val="1"/>
        <w:tabs>
          <w:tab w:leader="none" w:pos="0" w:val="left"/>
        </w:tabs>
        <w:ind w:firstLine="0" w:left="0"/>
      </w:pPr>
    </w:lvl>
    <w:lvl w:ilvl="5">
      <w:start w:val="1"/>
      <w:numFmt w:val="decimal"/>
      <w:suff w:val="nothing"/>
      <w:lvlJc w:val="left"/>
      <w:pPr>
        <w:widowControl w:val="1"/>
        <w:tabs>
          <w:tab w:leader="none" w:pos="0" w:val="left"/>
        </w:tabs>
        <w:ind w:firstLine="0" w:left="0"/>
      </w:pPr>
    </w:lvl>
    <w:lvl w:ilvl="6">
      <w:start w:val="1"/>
      <w:numFmt w:val="decimal"/>
      <w:suff w:val="nothing"/>
      <w:lvlJc w:val="left"/>
      <w:pPr>
        <w:widowControl w:val="1"/>
        <w:tabs>
          <w:tab w:leader="none" w:pos="0" w:val="left"/>
        </w:tabs>
        <w:ind w:firstLine="0" w:left="0"/>
      </w:pPr>
    </w:lvl>
    <w:lvl w:ilvl="7">
      <w:start w:val="1"/>
      <w:numFmt w:val="decimal"/>
      <w:suff w:val="nothing"/>
      <w:lvlJc w:val="left"/>
      <w:pPr>
        <w:widowControl w:val="1"/>
        <w:tabs>
          <w:tab w:leader="none" w:pos="0" w:val="left"/>
        </w:tabs>
        <w:ind w:firstLine="0" w:left="0"/>
      </w:pPr>
    </w:lvl>
    <w:lvl w:ilvl="8">
      <w:start w:val="1"/>
      <w:numFmt w:val="decimal"/>
      <w:suff w:val="nothing"/>
      <w:lvlJc w:val="left"/>
      <w:pPr>
        <w:widowControl w:val="1"/>
        <w:tabs>
          <w:tab w:leader="none" w:pos="0" w:val="left"/>
        </w:tabs>
        <w:ind w:firstLine="0" w:left="0"/>
      </w:pPr>
    </w:lvl>
  </w:abstractNum>
  <w:abstractNum w:abstractNumId="1">
    <w:lvl w:ilvl="0">
      <w:start w:val="1"/>
      <w:numFmt w:val="decimal"/>
      <w:pStyle w:val="Style_54"/>
      <w:suff w:val="nothing"/>
      <w:lvlJc w:val="left"/>
      <w:pPr>
        <w:widowControl w:val="1"/>
        <w:tabs>
          <w:tab w:leader="none" w:pos="0" w:val="left"/>
        </w:tabs>
        <w:ind w:firstLine="0" w:left="0"/>
      </w:pPr>
    </w:lvl>
    <w:lvl w:ilvl="1">
      <w:start w:val="1"/>
      <w:numFmt w:val="decimal"/>
      <w:pStyle w:val="Style_1"/>
      <w:suff w:val="nothing"/>
      <w:lvlJc w:val="left"/>
      <w:pPr>
        <w:widowControl w:val="1"/>
        <w:tabs>
          <w:tab w:leader="none" w:pos="0" w:val="left"/>
        </w:tabs>
        <w:ind w:firstLine="0" w:left="0"/>
      </w:pPr>
    </w:lvl>
    <w:lvl w:ilvl="2">
      <w:start w:val="1"/>
      <w:numFmt w:val="decimal"/>
      <w:suff w:val="nothing"/>
      <w:lvlJc w:val="left"/>
      <w:pPr>
        <w:widowControl w:val="1"/>
        <w:tabs>
          <w:tab w:leader="none" w:pos="0" w:val="left"/>
        </w:tabs>
        <w:ind w:firstLine="0" w:left="0"/>
      </w:pPr>
    </w:lvl>
    <w:lvl w:ilvl="3">
      <w:start w:val="1"/>
      <w:numFmt w:val="decimal"/>
      <w:suff w:val="nothing"/>
      <w:lvlJc w:val="left"/>
      <w:pPr>
        <w:widowControl w:val="1"/>
        <w:tabs>
          <w:tab w:leader="none" w:pos="0" w:val="left"/>
        </w:tabs>
        <w:ind w:firstLine="0" w:left="0"/>
      </w:pPr>
    </w:lvl>
    <w:lvl w:ilvl="4">
      <w:start w:val="1"/>
      <w:numFmt w:val="decimal"/>
      <w:pStyle w:val="Style_51"/>
      <w:suff w:val="nothing"/>
      <w:lvlJc w:val="left"/>
      <w:pPr>
        <w:widowControl w:val="1"/>
        <w:tabs>
          <w:tab w:leader="none" w:pos="0" w:val="left"/>
        </w:tabs>
        <w:ind w:firstLine="0" w:left="0"/>
      </w:pPr>
    </w:lvl>
    <w:lvl w:ilvl="5">
      <w:start w:val="1"/>
      <w:numFmt w:val="decimal"/>
      <w:suff w:val="nothing"/>
      <w:lvlJc w:val="left"/>
      <w:pPr>
        <w:widowControl w:val="1"/>
        <w:tabs>
          <w:tab w:leader="none" w:pos="0" w:val="left"/>
        </w:tabs>
        <w:ind w:firstLine="0" w:left="0"/>
      </w:pPr>
    </w:lvl>
    <w:lvl w:ilvl="6">
      <w:start w:val="1"/>
      <w:numFmt w:val="decimal"/>
      <w:pStyle w:val="Style_20"/>
      <w:suff w:val="nothing"/>
      <w:lvlJc w:val="left"/>
      <w:pPr>
        <w:widowControl w:val="1"/>
        <w:tabs>
          <w:tab w:leader="none" w:pos="0" w:val="left"/>
        </w:tabs>
        <w:ind w:firstLine="0" w:left="0"/>
      </w:pPr>
    </w:lvl>
    <w:lvl w:ilvl="7">
      <w:start w:val="1"/>
      <w:numFmt w:val="decimal"/>
      <w:suff w:val="nothing"/>
      <w:lvlJc w:val="left"/>
      <w:pPr>
        <w:widowControl w:val="1"/>
        <w:tabs>
          <w:tab w:leader="none" w:pos="0" w:val="left"/>
        </w:tabs>
        <w:ind w:firstLine="0" w:left="0"/>
      </w:pPr>
    </w:lvl>
    <w:lvl w:ilvl="8">
      <w:start w:val="1"/>
      <w:numFmt w:val="decimal"/>
      <w:suff w:val="nothing"/>
      <w:lvlJc w:val="left"/>
      <w:pPr>
        <w:widowControl w:val="1"/>
        <w:tabs>
          <w:tab w:leader="none" w:pos="0" w:val="left"/>
        </w:tabs>
        <w:ind w:firstLine="0" w:left="0"/>
      </w:pPr>
    </w:lvl>
  </w:abstractNum>
  <w:num w:numId="1">
    <w:abstractNumId w:val="0"/>
  </w:num>
  <w:num w:numId="2">
    <w:abstractNumId w:val="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0" w:uiPriority="9" w:unhideWhenUsed="0"/>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2" w:type="paragraph">
    <w:name w:val="Normal"/>
    <w:link w:val="Style_12_ch"/>
    <w:uiPriority w:val="0"/>
    <w:qFormat/>
    <w:pPr>
      <w:widowControl w:val="1"/>
      <w:ind/>
    </w:pPr>
    <w:rPr>
      <w:rFonts w:ascii="Liberation Serif" w:hAnsi="Liberation Serif"/>
      <w:color w:val="000000"/>
      <w:sz w:val="24"/>
    </w:rPr>
  </w:style>
  <w:style w:default="1" w:styleId="Style_12_ch" w:type="character">
    <w:name w:val="Normal"/>
    <w:link w:val="Style_12"/>
    <w:rPr>
      <w:rFonts w:ascii="Liberation Serif" w:hAnsi="Liberation Serif"/>
      <w:color w:val="000000"/>
      <w:sz w:val="24"/>
    </w:rPr>
  </w:style>
  <w:style w:styleId="Style_8" w:type="paragraph">
    <w:name w:val="Основной текст с отступом 2"/>
    <w:basedOn w:val="Style_12"/>
    <w:link w:val="Style_8_ch"/>
    <w:pPr>
      <w:widowControl w:val="1"/>
      <w:spacing w:after="120" w:before="0" w:line="480" w:lineRule="auto"/>
      <w:ind w:firstLine="0" w:left="283" w:right="0"/>
    </w:pPr>
  </w:style>
  <w:style w:styleId="Style_8_ch" w:type="character">
    <w:name w:val="Основной текст с отступом 2"/>
    <w:basedOn w:val="Style_12_ch"/>
    <w:link w:val="Style_8"/>
  </w:style>
  <w:style w:styleId="Style_13" w:type="paragraph">
    <w:name w:val="western"/>
    <w:basedOn w:val="Style_12"/>
    <w:link w:val="Style_13_ch"/>
    <w:pPr>
      <w:widowControl w:val="1"/>
      <w:spacing w:after="100" w:before="100"/>
      <w:ind/>
    </w:pPr>
    <w:rPr>
      <w:rFonts w:ascii="Times New Roman" w:hAnsi="Times New Roman"/>
    </w:rPr>
  </w:style>
  <w:style w:styleId="Style_13_ch" w:type="character">
    <w:name w:val="western"/>
    <w:basedOn w:val="Style_12_ch"/>
    <w:link w:val="Style_13"/>
    <w:rPr>
      <w:rFonts w:ascii="Times New Roman" w:hAnsi="Times New Roman"/>
    </w:rPr>
  </w:style>
  <w:style w:styleId="Style_14" w:type="paragraph">
    <w:name w:val="Основной текст с отступом 3"/>
    <w:basedOn w:val="Style_15"/>
    <w:link w:val="Style_14_ch"/>
    <w:pPr>
      <w:widowControl w:val="1"/>
      <w:spacing w:after="120" w:before="0"/>
      <w:ind w:firstLine="0" w:left="283" w:right="0"/>
    </w:pPr>
    <w:rPr>
      <w:sz w:val="16"/>
    </w:rPr>
  </w:style>
  <w:style w:styleId="Style_14_ch" w:type="character">
    <w:name w:val="Основной текст с отступом 3"/>
    <w:basedOn w:val="Style_15_ch"/>
    <w:link w:val="Style_14"/>
    <w:rPr>
      <w:sz w:val="16"/>
    </w:rPr>
  </w:style>
  <w:style w:styleId="Style_16" w:type="paragraph">
    <w:name w:val="Текст выноски"/>
    <w:basedOn w:val="Style_12"/>
    <w:link w:val="Style_16_ch"/>
    <w:rPr>
      <w:rFonts w:ascii="Tahoma" w:hAnsi="Tahoma"/>
      <w:sz w:val="16"/>
    </w:rPr>
  </w:style>
  <w:style w:styleId="Style_16_ch" w:type="character">
    <w:name w:val="Текст выноски"/>
    <w:basedOn w:val="Style_12_ch"/>
    <w:link w:val="Style_16"/>
    <w:rPr>
      <w:rFonts w:ascii="Tahoma" w:hAnsi="Tahoma"/>
      <w:sz w:val="16"/>
    </w:rPr>
  </w:style>
  <w:style w:styleId="Style_17" w:type="paragraph">
    <w:name w:val="toc 2"/>
    <w:next w:val="Style_12"/>
    <w:link w:val="Style_17_ch"/>
    <w:uiPriority w:val="39"/>
    <w:pPr>
      <w:widowControl w:val="1"/>
      <w:ind w:firstLine="0" w:left="200"/>
      <w:jc w:val="left"/>
    </w:pPr>
    <w:rPr>
      <w:rFonts w:ascii="XO Thames" w:hAnsi="XO Thames"/>
      <w:sz w:val="28"/>
    </w:rPr>
  </w:style>
  <w:style w:styleId="Style_17_ch" w:type="character">
    <w:name w:val="toc 2"/>
    <w:link w:val="Style_17"/>
    <w:rPr>
      <w:rFonts w:ascii="XO Thames" w:hAnsi="XO Thames"/>
      <w:sz w:val="28"/>
    </w:rPr>
  </w:style>
  <w:style w:styleId="Style_7" w:type="paragraph">
    <w:name w:val="Body Text Indent"/>
    <w:basedOn w:val="Style_12"/>
    <w:link w:val="Style_7_ch"/>
    <w:pPr>
      <w:widowControl w:val="1"/>
      <w:spacing w:after="120" w:before="0"/>
      <w:ind w:firstLine="0" w:left="283" w:right="0"/>
    </w:pPr>
  </w:style>
  <w:style w:styleId="Style_7_ch" w:type="character">
    <w:name w:val="Body Text Indent"/>
    <w:basedOn w:val="Style_12_ch"/>
    <w:link w:val="Style_7"/>
  </w:style>
  <w:style w:styleId="Style_18" w:type="paragraph">
    <w:name w:val="Основной текст с отступом Знак"/>
    <w:link w:val="Style_18_ch"/>
    <w:rPr>
      <w:sz w:val="24"/>
    </w:rPr>
  </w:style>
  <w:style w:styleId="Style_18_ch" w:type="character">
    <w:name w:val="Основной текст с отступом Знак"/>
    <w:link w:val="Style_18"/>
    <w:rPr>
      <w:sz w:val="24"/>
    </w:rPr>
  </w:style>
  <w:style w:styleId="Style_19" w:type="paragraph">
    <w:name w:val="toc 4"/>
    <w:next w:val="Style_12"/>
    <w:link w:val="Style_19_ch"/>
    <w:uiPriority w:val="39"/>
    <w:pPr>
      <w:widowControl w:val="1"/>
      <w:ind w:firstLine="0" w:left="600"/>
      <w:jc w:val="left"/>
    </w:pPr>
    <w:rPr>
      <w:rFonts w:ascii="XO Thames" w:hAnsi="XO Thames"/>
      <w:sz w:val="28"/>
    </w:rPr>
  </w:style>
  <w:style w:styleId="Style_19_ch" w:type="character">
    <w:name w:val="toc 4"/>
    <w:link w:val="Style_19"/>
    <w:rPr>
      <w:rFonts w:ascii="XO Thames" w:hAnsi="XO Thames"/>
      <w:sz w:val="28"/>
    </w:rPr>
  </w:style>
  <w:style w:styleId="Style_20" w:type="paragraph">
    <w:name w:val="heading 7"/>
    <w:basedOn w:val="Style_12"/>
    <w:next w:val="Style_12"/>
    <w:link w:val="Style_20_ch"/>
    <w:uiPriority w:val="9"/>
    <w:qFormat/>
    <w:pPr>
      <w:widowControl w:val="1"/>
      <w:numPr>
        <w:ilvl w:val="6"/>
        <w:numId w:val="2"/>
      </w:numPr>
      <w:spacing w:after="60" w:before="240"/>
      <w:ind/>
      <w:outlineLvl w:val="6"/>
    </w:pPr>
    <w:rPr>
      <w:rFonts w:ascii="Calibri" w:hAnsi="Calibri"/>
    </w:rPr>
  </w:style>
  <w:style w:styleId="Style_20_ch" w:type="character">
    <w:name w:val="heading 7"/>
    <w:basedOn w:val="Style_12_ch"/>
    <w:link w:val="Style_20"/>
    <w:rPr>
      <w:rFonts w:ascii="Calibri" w:hAnsi="Calibri"/>
    </w:rPr>
  </w:style>
  <w:style w:styleId="Style_21" w:type="paragraph">
    <w:name w:val="Caption1"/>
    <w:basedOn w:val="Style_12"/>
    <w:link w:val="Style_21_ch"/>
    <w:pPr>
      <w:widowControl w:val="1"/>
      <w:spacing w:after="120" w:before="120"/>
      <w:ind/>
    </w:pPr>
    <w:rPr>
      <w:i w:val="1"/>
      <w:sz w:val="24"/>
    </w:rPr>
  </w:style>
  <w:style w:styleId="Style_21_ch" w:type="character">
    <w:name w:val="Caption1"/>
    <w:basedOn w:val="Style_12_ch"/>
    <w:link w:val="Style_21"/>
    <w:rPr>
      <w:i w:val="1"/>
      <w:sz w:val="24"/>
    </w:rPr>
  </w:style>
  <w:style w:styleId="Style_22" w:type="paragraph">
    <w:name w:val="Основной текст Знак"/>
    <w:link w:val="Style_22_ch"/>
  </w:style>
  <w:style w:styleId="Style_22_ch" w:type="character">
    <w:name w:val="Основной текст Знак"/>
    <w:link w:val="Style_22"/>
  </w:style>
  <w:style w:styleId="Style_23" w:type="paragraph">
    <w:name w:val="Caption11"/>
    <w:basedOn w:val="Style_12"/>
    <w:link w:val="Style_23_ch"/>
    <w:pPr>
      <w:widowControl w:val="1"/>
      <w:spacing w:after="120" w:before="120"/>
      <w:ind/>
    </w:pPr>
    <w:rPr>
      <w:i w:val="1"/>
      <w:sz w:val="24"/>
    </w:rPr>
  </w:style>
  <w:style w:styleId="Style_23_ch" w:type="character">
    <w:name w:val="Caption11"/>
    <w:basedOn w:val="Style_12_ch"/>
    <w:link w:val="Style_23"/>
    <w:rPr>
      <w:i w:val="1"/>
      <w:sz w:val="24"/>
    </w:rPr>
  </w:style>
  <w:style w:styleId="Style_24" w:type="paragraph">
    <w:name w:val="toc 6"/>
    <w:next w:val="Style_12"/>
    <w:link w:val="Style_24_ch"/>
    <w:uiPriority w:val="39"/>
    <w:pPr>
      <w:widowControl w:val="1"/>
      <w:ind w:firstLine="0" w:left="1000"/>
      <w:jc w:val="left"/>
    </w:pPr>
    <w:rPr>
      <w:rFonts w:ascii="XO Thames" w:hAnsi="XO Thames"/>
      <w:sz w:val="28"/>
    </w:rPr>
  </w:style>
  <w:style w:styleId="Style_24_ch" w:type="character">
    <w:name w:val="toc 6"/>
    <w:link w:val="Style_24"/>
    <w:rPr>
      <w:rFonts w:ascii="XO Thames" w:hAnsi="XO Thames"/>
      <w:sz w:val="28"/>
    </w:rPr>
  </w:style>
  <w:style w:styleId="Style_25" w:type="paragraph">
    <w:name w:val="Caption111"/>
    <w:basedOn w:val="Style_12"/>
    <w:link w:val="Style_25_ch"/>
    <w:pPr>
      <w:widowControl w:val="1"/>
      <w:spacing w:after="120" w:before="120"/>
      <w:ind/>
    </w:pPr>
    <w:rPr>
      <w:i w:val="1"/>
      <w:sz w:val="24"/>
    </w:rPr>
  </w:style>
  <w:style w:styleId="Style_25_ch" w:type="character">
    <w:name w:val="Caption111"/>
    <w:basedOn w:val="Style_12_ch"/>
    <w:link w:val="Style_25"/>
    <w:rPr>
      <w:i w:val="1"/>
      <w:sz w:val="24"/>
    </w:rPr>
  </w:style>
  <w:style w:styleId="Style_26" w:type="paragraph">
    <w:name w:val="toc 7"/>
    <w:next w:val="Style_12"/>
    <w:link w:val="Style_26_ch"/>
    <w:uiPriority w:val="39"/>
    <w:pPr>
      <w:widowControl w:val="1"/>
      <w:ind w:firstLine="0" w:left="1200"/>
      <w:jc w:val="left"/>
    </w:pPr>
    <w:rPr>
      <w:rFonts w:ascii="XO Thames" w:hAnsi="XO Thames"/>
      <w:sz w:val="28"/>
    </w:rPr>
  </w:style>
  <w:style w:styleId="Style_26_ch" w:type="character">
    <w:name w:val="toc 7"/>
    <w:link w:val="Style_26"/>
    <w:rPr>
      <w:rFonts w:ascii="XO Thames" w:hAnsi="XO Thames"/>
      <w:sz w:val="28"/>
    </w:rPr>
  </w:style>
  <w:style w:styleId="Style_27" w:type="paragraph">
    <w:name w:val="Заголовок 7 Знак"/>
    <w:link w:val="Style_27_ch"/>
    <w:rPr>
      <w:rFonts w:ascii="Calibri" w:hAnsi="Calibri"/>
      <w:sz w:val="24"/>
    </w:rPr>
  </w:style>
  <w:style w:styleId="Style_27_ch" w:type="character">
    <w:name w:val="Заголовок 7 Знак"/>
    <w:link w:val="Style_27"/>
    <w:rPr>
      <w:rFonts w:ascii="Calibri" w:hAnsi="Calibri"/>
      <w:sz w:val="24"/>
    </w:rPr>
  </w:style>
  <w:style w:styleId="Style_28" w:type="paragraph">
    <w:name w:val="Цветовое выделение для Текст"/>
    <w:link w:val="Style_28_ch"/>
    <w:rPr>
      <w:sz w:val="24"/>
    </w:rPr>
  </w:style>
  <w:style w:styleId="Style_28_ch" w:type="character">
    <w:name w:val="Цветовое выделение для Текст"/>
    <w:link w:val="Style_28"/>
    <w:rPr>
      <w:sz w:val="24"/>
    </w:rPr>
  </w:style>
  <w:style w:styleId="Style_29" w:type="paragraph">
    <w:name w:val="Неразрешенное упоминание"/>
    <w:link w:val="Style_29_ch"/>
    <w:rPr>
      <w:color w:val="605E5C"/>
      <w:shd w:fill="E1DFDD" w:val="clear"/>
    </w:rPr>
  </w:style>
  <w:style w:styleId="Style_29_ch" w:type="character">
    <w:name w:val="Неразрешенное упоминание"/>
    <w:link w:val="Style_29"/>
    <w:rPr>
      <w:color w:val="605E5C"/>
      <w:shd w:fill="E1DFDD" w:val="clear"/>
    </w:rPr>
  </w:style>
  <w:style w:styleId="Style_11" w:type="paragraph">
    <w:name w:val="ConsPlusNormal"/>
    <w:link w:val="Style_11_ch"/>
    <w:pPr>
      <w:widowControl w:val="0"/>
      <w:ind w:firstLine="720" w:left="0" w:right="0"/>
    </w:pPr>
    <w:rPr>
      <w:rFonts w:ascii="Arial" w:hAnsi="Arial"/>
      <w:color w:val="000000"/>
      <w:sz w:val="20"/>
    </w:rPr>
  </w:style>
  <w:style w:styleId="Style_11_ch" w:type="character">
    <w:name w:val="ConsPlusNormal"/>
    <w:link w:val="Style_11"/>
    <w:rPr>
      <w:rFonts w:ascii="Arial" w:hAnsi="Arial"/>
      <w:color w:val="000000"/>
      <w:sz w:val="20"/>
    </w:rPr>
  </w:style>
  <w:style w:styleId="Style_30" w:type="paragraph">
    <w:name w:val="Endnote"/>
    <w:link w:val="Style_30_ch"/>
    <w:pPr>
      <w:widowControl w:val="1"/>
      <w:ind w:firstLine="851" w:left="0"/>
      <w:jc w:val="both"/>
    </w:pPr>
    <w:rPr>
      <w:rFonts w:ascii="XO Thames" w:hAnsi="XO Thames"/>
      <w:sz w:val="22"/>
    </w:rPr>
  </w:style>
  <w:style w:styleId="Style_30_ch" w:type="character">
    <w:name w:val="Endnote"/>
    <w:link w:val="Style_30"/>
    <w:rPr>
      <w:rFonts w:ascii="XO Thames" w:hAnsi="XO Thames"/>
      <w:sz w:val="22"/>
    </w:rPr>
  </w:style>
  <w:style w:styleId="Style_31" w:type="paragraph">
    <w:name w:val="heading 3"/>
    <w:next w:val="Style_12"/>
    <w:link w:val="Style_31_ch"/>
    <w:uiPriority w:val="9"/>
    <w:qFormat/>
    <w:pPr>
      <w:widowControl w:val="1"/>
      <w:spacing w:after="120" w:before="120"/>
      <w:ind/>
      <w:jc w:val="both"/>
      <w:outlineLvl w:val="2"/>
    </w:pPr>
    <w:rPr>
      <w:rFonts w:ascii="XO Thames" w:hAnsi="XO Thames"/>
      <w:b w:val="1"/>
      <w:sz w:val="26"/>
    </w:rPr>
  </w:style>
  <w:style w:styleId="Style_31_ch" w:type="character">
    <w:name w:val="heading 3"/>
    <w:link w:val="Style_31"/>
    <w:rPr>
      <w:rFonts w:ascii="XO Thames" w:hAnsi="XO Thames"/>
      <w:b w:val="1"/>
      <w:sz w:val="26"/>
    </w:rPr>
  </w:style>
  <w:style w:styleId="Style_32" w:type="paragraph">
    <w:name w:val="Заголовок 5 Знак"/>
    <w:link w:val="Style_32_ch"/>
    <w:rPr>
      <w:rFonts w:ascii="Cambria" w:hAnsi="Cambria"/>
      <w:color w:val="365F91"/>
      <w:sz w:val="22"/>
    </w:rPr>
  </w:style>
  <w:style w:styleId="Style_32_ch" w:type="character">
    <w:name w:val="Заголовок 5 Знак"/>
    <w:link w:val="Style_32"/>
    <w:rPr>
      <w:rFonts w:ascii="Cambria" w:hAnsi="Cambria"/>
      <w:color w:val="365F91"/>
      <w:sz w:val="22"/>
    </w:rPr>
  </w:style>
  <w:style w:styleId="Style_33" w:type="paragraph">
    <w:name w:val="Текст выноски Знак"/>
    <w:link w:val="Style_33_ch"/>
    <w:rPr>
      <w:rFonts w:ascii="Tahoma" w:hAnsi="Tahoma"/>
      <w:sz w:val="16"/>
    </w:rPr>
  </w:style>
  <w:style w:styleId="Style_33_ch" w:type="character">
    <w:name w:val="Текст выноски Знак"/>
    <w:link w:val="Style_33"/>
    <w:rPr>
      <w:rFonts w:ascii="Tahoma" w:hAnsi="Tahoma"/>
      <w:sz w:val="16"/>
    </w:rPr>
  </w:style>
  <w:style w:styleId="Style_34" w:type="paragraph">
    <w:name w:val="blk3"/>
    <w:link w:val="Style_34_ch"/>
  </w:style>
  <w:style w:styleId="Style_34_ch" w:type="character">
    <w:name w:val="blk3"/>
    <w:link w:val="Style_34"/>
  </w:style>
  <w:style w:styleId="Style_3" w:type="paragraph">
    <w:name w:val="Text body"/>
    <w:basedOn w:val="Style_15"/>
    <w:link w:val="Style_3_ch"/>
    <w:pPr>
      <w:widowControl w:val="1"/>
      <w:spacing w:after="140" w:before="0" w:line="276" w:lineRule="auto"/>
      <w:ind/>
    </w:pPr>
  </w:style>
  <w:style w:styleId="Style_3_ch" w:type="character">
    <w:name w:val="Text body"/>
    <w:basedOn w:val="Style_15_ch"/>
    <w:link w:val="Style_3"/>
  </w:style>
  <w:style w:styleId="Style_35" w:type="paragraph">
    <w:name w:val="Основной текст 2"/>
    <w:basedOn w:val="Style_15"/>
    <w:link w:val="Style_35_ch"/>
    <w:pPr>
      <w:widowControl w:val="1"/>
      <w:spacing w:after="120" w:before="0" w:line="480" w:lineRule="auto"/>
      <w:ind/>
    </w:pPr>
  </w:style>
  <w:style w:styleId="Style_35_ch" w:type="character">
    <w:name w:val="Основной текст 2"/>
    <w:basedOn w:val="Style_15_ch"/>
    <w:link w:val="Style_35"/>
  </w:style>
  <w:style w:styleId="Style_36" w:type="paragraph">
    <w:name w:val="ConsPlusNonformat"/>
    <w:link w:val="Style_36_ch"/>
    <w:pPr>
      <w:widowControl w:val="0"/>
      <w:ind/>
    </w:pPr>
    <w:rPr>
      <w:rFonts w:ascii="Courier New" w:hAnsi="Courier New"/>
      <w:color w:val="000000"/>
      <w:sz w:val="20"/>
    </w:rPr>
  </w:style>
  <w:style w:styleId="Style_36_ch" w:type="character">
    <w:name w:val="ConsPlusNonformat"/>
    <w:link w:val="Style_36"/>
    <w:rPr>
      <w:rFonts w:ascii="Courier New" w:hAnsi="Courier New"/>
      <w:color w:val="000000"/>
      <w:sz w:val="20"/>
    </w:rPr>
  </w:style>
  <w:style w:styleId="Style_37" w:type="paragraph">
    <w:name w:val="Основной шрифт абзаца"/>
    <w:link w:val="Style_37_ch"/>
  </w:style>
  <w:style w:styleId="Style_37_ch" w:type="character">
    <w:name w:val="Основной шрифт абзаца"/>
    <w:link w:val="Style_37"/>
  </w:style>
  <w:style w:styleId="Style_38" w:type="paragraph">
    <w:name w:val="Caption11111"/>
    <w:basedOn w:val="Style_12"/>
    <w:link w:val="Style_38_ch"/>
    <w:pPr>
      <w:widowControl w:val="1"/>
      <w:spacing w:after="120" w:before="120"/>
      <w:ind/>
    </w:pPr>
    <w:rPr>
      <w:i w:val="1"/>
      <w:sz w:val="24"/>
    </w:rPr>
  </w:style>
  <w:style w:styleId="Style_38_ch" w:type="character">
    <w:name w:val="Caption11111"/>
    <w:basedOn w:val="Style_12_ch"/>
    <w:link w:val="Style_38"/>
    <w:rPr>
      <w:i w:val="1"/>
      <w:sz w:val="24"/>
    </w:rPr>
  </w:style>
  <w:style w:styleId="Style_39" w:type="paragraph">
    <w:name w:val="WW8Num2z0"/>
    <w:link w:val="Style_39_ch"/>
  </w:style>
  <w:style w:styleId="Style_39_ch" w:type="character">
    <w:name w:val="WW8Num2z0"/>
    <w:link w:val="Style_39"/>
  </w:style>
  <w:style w:styleId="Style_40" w:type="paragraph">
    <w:name w:val="Основной текст с отступом 22"/>
    <w:basedOn w:val="Style_12"/>
    <w:link w:val="Style_40_ch"/>
    <w:pPr>
      <w:widowControl w:val="1"/>
      <w:ind w:firstLine="709" w:left="0" w:right="0"/>
      <w:jc w:val="both"/>
    </w:pPr>
    <w:rPr>
      <w:rFonts w:ascii="Times New Roman" w:hAnsi="Times New Roman"/>
    </w:rPr>
  </w:style>
  <w:style w:styleId="Style_40_ch" w:type="character">
    <w:name w:val="Основной текст с отступом 22"/>
    <w:basedOn w:val="Style_12_ch"/>
    <w:link w:val="Style_40"/>
    <w:rPr>
      <w:rFonts w:ascii="Times New Roman" w:hAnsi="Times New Roman"/>
    </w:rPr>
  </w:style>
  <w:style w:styleId="Style_41" w:type="paragraph">
    <w:name w:val="Default Paragraph Font"/>
    <w:link w:val="Style_41_ch"/>
  </w:style>
  <w:style w:styleId="Style_41_ch" w:type="character">
    <w:name w:val="Default Paragraph Font"/>
    <w:link w:val="Style_41"/>
  </w:style>
  <w:style w:styleId="Style_42" w:type="paragraph">
    <w:name w:val="WW8Num3z1"/>
    <w:link w:val="Style_42_ch"/>
    <w:rPr>
      <w:rFonts w:ascii="Courier New" w:hAnsi="Courier New"/>
    </w:rPr>
  </w:style>
  <w:style w:styleId="Style_42_ch" w:type="character">
    <w:name w:val="WW8Num3z1"/>
    <w:link w:val="Style_42"/>
    <w:rPr>
      <w:rFonts w:ascii="Courier New" w:hAnsi="Courier New"/>
    </w:rPr>
  </w:style>
  <w:style w:styleId="Style_43" w:type="paragraph">
    <w:name w:val="caption"/>
    <w:basedOn w:val="Style_12"/>
    <w:link w:val="Style_43_ch"/>
    <w:pPr>
      <w:widowControl w:val="1"/>
      <w:spacing w:after="120" w:before="120"/>
      <w:ind/>
    </w:pPr>
    <w:rPr>
      <w:i w:val="1"/>
      <w:sz w:val="24"/>
    </w:rPr>
  </w:style>
  <w:style w:styleId="Style_43_ch" w:type="character">
    <w:name w:val="caption"/>
    <w:basedOn w:val="Style_12_ch"/>
    <w:link w:val="Style_43"/>
    <w:rPr>
      <w:i w:val="1"/>
      <w:sz w:val="24"/>
    </w:rPr>
  </w:style>
  <w:style w:styleId="Style_44" w:type="paragraph">
    <w:name w:val="Heading"/>
    <w:basedOn w:val="Style_15"/>
    <w:next w:val="Style_3"/>
    <w:link w:val="Style_44_ch"/>
    <w:pPr>
      <w:keepNext w:val="1"/>
      <w:widowControl w:val="1"/>
      <w:spacing w:after="120" w:before="240"/>
      <w:ind/>
    </w:pPr>
    <w:rPr>
      <w:rFonts w:ascii="Liberation Sans" w:hAnsi="Liberation Sans"/>
      <w:sz w:val="28"/>
    </w:rPr>
  </w:style>
  <w:style w:styleId="Style_44_ch" w:type="character">
    <w:name w:val="Heading"/>
    <w:basedOn w:val="Style_15_ch"/>
    <w:link w:val="Style_44"/>
    <w:rPr>
      <w:rFonts w:ascii="Liberation Sans" w:hAnsi="Liberation Sans"/>
      <w:sz w:val="28"/>
    </w:rPr>
  </w:style>
  <w:style w:styleId="Style_45" w:type="paragraph">
    <w:name w:val="ConsNonformat"/>
    <w:link w:val="Style_45_ch"/>
    <w:pPr>
      <w:widowControl w:val="0"/>
      <w:ind w:firstLine="0" w:left="0" w:right="19772"/>
    </w:pPr>
    <w:rPr>
      <w:rFonts w:ascii="Courier New" w:hAnsi="Courier New"/>
      <w:color w:val="000000"/>
      <w:sz w:val="20"/>
    </w:rPr>
  </w:style>
  <w:style w:styleId="Style_45_ch" w:type="character">
    <w:name w:val="ConsNonformat"/>
    <w:link w:val="Style_45"/>
    <w:rPr>
      <w:rFonts w:ascii="Courier New" w:hAnsi="Courier New"/>
      <w:color w:val="000000"/>
      <w:sz w:val="20"/>
    </w:rPr>
  </w:style>
  <w:style w:styleId="Style_46" w:type="paragraph">
    <w:name w:val="toc 3"/>
    <w:next w:val="Style_12"/>
    <w:link w:val="Style_46_ch"/>
    <w:uiPriority w:val="39"/>
    <w:pPr>
      <w:widowControl w:val="1"/>
      <w:ind w:firstLine="0" w:left="400"/>
      <w:jc w:val="left"/>
    </w:pPr>
    <w:rPr>
      <w:rFonts w:ascii="XO Thames" w:hAnsi="XO Thames"/>
      <w:sz w:val="28"/>
    </w:rPr>
  </w:style>
  <w:style w:styleId="Style_46_ch" w:type="character">
    <w:name w:val="toc 3"/>
    <w:link w:val="Style_46"/>
    <w:rPr>
      <w:rFonts w:ascii="XO Thames" w:hAnsi="XO Thames"/>
      <w:sz w:val="28"/>
    </w:rPr>
  </w:style>
  <w:style w:styleId="Style_47" w:type="paragraph">
    <w:name w:val="Символ сноски"/>
    <w:link w:val="Style_47_ch"/>
    <w:rPr>
      <w:vertAlign w:val="superscript"/>
    </w:rPr>
  </w:style>
  <w:style w:styleId="Style_47_ch" w:type="character">
    <w:name w:val="Символ сноски"/>
    <w:link w:val="Style_47"/>
    <w:rPr>
      <w:vertAlign w:val="superscript"/>
    </w:rPr>
  </w:style>
  <w:style w:styleId="Style_48" w:type="paragraph">
    <w:name w:val="Название объекта"/>
    <w:basedOn w:val="Style_15"/>
    <w:link w:val="Style_48_ch"/>
    <w:pPr>
      <w:widowControl w:val="1"/>
      <w:spacing w:after="120" w:before="120"/>
      <w:ind/>
    </w:pPr>
    <w:rPr>
      <w:i w:val="1"/>
    </w:rPr>
  </w:style>
  <w:style w:styleId="Style_48_ch" w:type="character">
    <w:name w:val="Название объекта"/>
    <w:basedOn w:val="Style_15_ch"/>
    <w:link w:val="Style_48"/>
    <w:rPr>
      <w:i w:val="1"/>
    </w:rPr>
  </w:style>
  <w:style w:styleId="Style_49" w:type="paragraph">
    <w:name w:val="Internet link"/>
    <w:link w:val="Style_49_ch"/>
    <w:rPr>
      <w:color w:val="000080"/>
      <w:u w:color="000000" w:val="single"/>
    </w:rPr>
  </w:style>
  <w:style w:styleId="Style_49_ch" w:type="character">
    <w:name w:val="Internet link"/>
    <w:link w:val="Style_49"/>
    <w:rPr>
      <w:color w:val="000080"/>
      <w:u w:color="000000" w:val="single"/>
    </w:rPr>
  </w:style>
  <w:style w:styleId="Style_50" w:type="paragraph">
    <w:name w:val="Указатель"/>
    <w:basedOn w:val="Style_12"/>
    <w:link w:val="Style_50_ch"/>
  </w:style>
  <w:style w:styleId="Style_50_ch" w:type="character">
    <w:name w:val="Указатель"/>
    <w:basedOn w:val="Style_12_ch"/>
    <w:link w:val="Style_50"/>
  </w:style>
  <w:style w:styleId="Style_51" w:type="paragraph">
    <w:name w:val="heading 5"/>
    <w:basedOn w:val="Style_12"/>
    <w:next w:val="Style_12"/>
    <w:link w:val="Style_51_ch"/>
    <w:uiPriority w:val="9"/>
    <w:qFormat/>
    <w:pPr>
      <w:keepNext w:val="1"/>
      <w:keepLines w:val="1"/>
      <w:widowControl w:val="1"/>
      <w:numPr>
        <w:ilvl w:val="4"/>
        <w:numId w:val="2"/>
      </w:numPr>
      <w:spacing w:after="0" w:before="40" w:line="240" w:lineRule="auto"/>
      <w:ind/>
      <w:outlineLvl w:val="4"/>
    </w:pPr>
    <w:rPr>
      <w:rFonts w:ascii="Cambria" w:hAnsi="Cambria"/>
      <w:color w:val="365F91"/>
      <w:sz w:val="22"/>
    </w:rPr>
  </w:style>
  <w:style w:styleId="Style_51_ch" w:type="character">
    <w:name w:val="heading 5"/>
    <w:basedOn w:val="Style_12_ch"/>
    <w:link w:val="Style_51"/>
    <w:rPr>
      <w:rFonts w:ascii="Cambria" w:hAnsi="Cambria"/>
      <w:color w:val="365F91"/>
      <w:sz w:val="22"/>
    </w:rPr>
  </w:style>
  <w:style w:styleId="Style_52" w:type="paragraph">
    <w:name w:val="Заголовок 2 Знак"/>
    <w:link w:val="Style_52_ch"/>
    <w:rPr>
      <w:rFonts w:ascii="Cambria" w:hAnsi="Cambria"/>
      <w:b w:val="1"/>
      <w:i w:val="1"/>
      <w:sz w:val="28"/>
    </w:rPr>
  </w:style>
  <w:style w:styleId="Style_52_ch" w:type="character">
    <w:name w:val="Заголовок 2 Знак"/>
    <w:link w:val="Style_52"/>
    <w:rPr>
      <w:rFonts w:ascii="Cambria" w:hAnsi="Cambria"/>
      <w:b w:val="1"/>
      <w:i w:val="1"/>
      <w:sz w:val="28"/>
    </w:rPr>
  </w:style>
  <w:style w:styleId="Style_53" w:type="paragraph">
    <w:name w:val="Абзац списка Знак"/>
    <w:link w:val="Style_53_ch"/>
    <w:rPr>
      <w:rFonts w:ascii="Times New Roman" w:hAnsi="Times New Roman"/>
    </w:rPr>
  </w:style>
  <w:style w:styleId="Style_53_ch" w:type="character">
    <w:name w:val="Абзац списка Знак"/>
    <w:link w:val="Style_53"/>
    <w:rPr>
      <w:rFonts w:ascii="Times New Roman" w:hAnsi="Times New Roman"/>
    </w:rPr>
  </w:style>
  <w:style w:styleId="Style_54" w:type="paragraph">
    <w:name w:val="heading 1"/>
    <w:basedOn w:val="Style_12"/>
    <w:next w:val="Style_12"/>
    <w:link w:val="Style_54_ch"/>
    <w:uiPriority w:val="9"/>
    <w:qFormat/>
    <w:pPr>
      <w:keepNext w:val="1"/>
      <w:keepLines w:val="1"/>
      <w:widowControl w:val="1"/>
      <w:numPr>
        <w:ilvl w:val="0"/>
        <w:numId w:val="2"/>
      </w:numPr>
      <w:spacing w:after="0" w:before="480"/>
      <w:ind/>
      <w:outlineLvl w:val="0"/>
    </w:pPr>
    <w:rPr>
      <w:rFonts w:ascii="Cambria" w:hAnsi="Cambria"/>
      <w:b w:val="1"/>
      <w:color w:val="365F91"/>
      <w:sz w:val="28"/>
    </w:rPr>
  </w:style>
  <w:style w:styleId="Style_54_ch" w:type="character">
    <w:name w:val="heading 1"/>
    <w:basedOn w:val="Style_12_ch"/>
    <w:link w:val="Style_54"/>
    <w:rPr>
      <w:rFonts w:ascii="Cambria" w:hAnsi="Cambria"/>
      <w:b w:val="1"/>
      <w:color w:val="365F91"/>
      <w:sz w:val="28"/>
    </w:rPr>
  </w:style>
  <w:style w:styleId="Style_55" w:type="paragraph">
    <w:name w:val="Default"/>
    <w:link w:val="Style_55_ch"/>
    <w:pPr>
      <w:widowControl w:val="1"/>
      <w:ind/>
    </w:pPr>
    <w:rPr>
      <w:rFonts w:ascii="Times New Roman" w:hAnsi="Times New Roman"/>
      <w:color w:val="000000"/>
      <w:sz w:val="24"/>
    </w:rPr>
  </w:style>
  <w:style w:styleId="Style_55_ch" w:type="character">
    <w:name w:val="Default"/>
    <w:link w:val="Style_55"/>
    <w:rPr>
      <w:rFonts w:ascii="Times New Roman" w:hAnsi="Times New Roman"/>
      <w:color w:val="000000"/>
      <w:sz w:val="24"/>
    </w:rPr>
  </w:style>
  <w:style w:styleId="Style_56" w:type="paragraph">
    <w:name w:val="Содержимое таблицы"/>
    <w:basedOn w:val="Style_12"/>
    <w:link w:val="Style_56_ch"/>
    <w:rPr>
      <w:rFonts w:ascii="Courier New" w:hAnsi="Courier New"/>
    </w:rPr>
  </w:style>
  <w:style w:styleId="Style_56_ch" w:type="character">
    <w:name w:val="Содержимое таблицы"/>
    <w:basedOn w:val="Style_12_ch"/>
    <w:link w:val="Style_56"/>
    <w:rPr>
      <w:rFonts w:ascii="Courier New" w:hAnsi="Courier New"/>
    </w:rPr>
  </w:style>
  <w:style w:styleId="Style_6" w:type="paragraph">
    <w:name w:val="Hyperlink"/>
    <w:link w:val="Style_6_ch"/>
    <w:rPr>
      <w:color w:val="0000FF"/>
      <w:u w:color="000000" w:val="single"/>
    </w:rPr>
  </w:style>
  <w:style w:styleId="Style_6_ch" w:type="character">
    <w:name w:val="Hyperlink"/>
    <w:link w:val="Style_6"/>
    <w:rPr>
      <w:color w:val="0000FF"/>
      <w:u w:color="000000" w:val="single"/>
    </w:rPr>
  </w:style>
  <w:style w:styleId="Style_57" w:type="paragraph">
    <w:name w:val="Footnote"/>
    <w:basedOn w:val="Style_12"/>
    <w:link w:val="Style_57_ch"/>
    <w:pPr>
      <w:widowControl w:val="1"/>
      <w:spacing w:after="200" w:before="0" w:line="276" w:lineRule="auto"/>
      <w:ind/>
    </w:pPr>
    <w:rPr>
      <w:rFonts w:ascii="Calibri" w:hAnsi="Calibri"/>
      <w:sz w:val="20"/>
    </w:rPr>
  </w:style>
  <w:style w:styleId="Style_57_ch" w:type="character">
    <w:name w:val="Footnote"/>
    <w:basedOn w:val="Style_12_ch"/>
    <w:link w:val="Style_57"/>
    <w:rPr>
      <w:rFonts w:ascii="Calibri" w:hAnsi="Calibri"/>
      <w:sz w:val="20"/>
    </w:rPr>
  </w:style>
  <w:style w:styleId="Style_58" w:type="paragraph">
    <w:name w:val="toc 1"/>
    <w:next w:val="Style_12"/>
    <w:link w:val="Style_58_ch"/>
    <w:uiPriority w:val="39"/>
    <w:pPr>
      <w:widowControl w:val="1"/>
      <w:ind w:firstLine="0" w:left="0"/>
      <w:jc w:val="left"/>
    </w:pPr>
    <w:rPr>
      <w:rFonts w:ascii="XO Thames" w:hAnsi="XO Thames"/>
      <w:b w:val="1"/>
      <w:sz w:val="28"/>
    </w:rPr>
  </w:style>
  <w:style w:styleId="Style_58_ch" w:type="character">
    <w:name w:val="toc 1"/>
    <w:link w:val="Style_58"/>
    <w:rPr>
      <w:rFonts w:ascii="XO Thames" w:hAnsi="XO Thames"/>
      <w:b w:val="1"/>
      <w:sz w:val="28"/>
    </w:rPr>
  </w:style>
  <w:style w:styleId="Style_59" w:type="paragraph">
    <w:name w:val="WW8Num3z2"/>
    <w:link w:val="Style_59_ch"/>
    <w:rPr>
      <w:rFonts w:ascii="Wingdings" w:hAnsi="Wingdings"/>
    </w:rPr>
  </w:style>
  <w:style w:styleId="Style_59_ch" w:type="character">
    <w:name w:val="WW8Num3z2"/>
    <w:link w:val="Style_59"/>
    <w:rPr>
      <w:rFonts w:ascii="Wingdings" w:hAnsi="Wingdings"/>
    </w:rPr>
  </w:style>
  <w:style w:styleId="Style_60" w:type="paragraph">
    <w:name w:val="Заголовок 1 Знак"/>
    <w:link w:val="Style_60_ch"/>
    <w:rPr>
      <w:rFonts w:ascii="Cambria" w:hAnsi="Cambria"/>
      <w:b w:val="1"/>
      <w:color w:val="365F91"/>
      <w:sz w:val="28"/>
    </w:rPr>
  </w:style>
  <w:style w:styleId="Style_60_ch" w:type="character">
    <w:name w:val="Заголовок 1 Знак"/>
    <w:link w:val="Style_60"/>
    <w:rPr>
      <w:rFonts w:ascii="Cambria" w:hAnsi="Cambria"/>
      <w:b w:val="1"/>
      <w:color w:val="365F91"/>
      <w:sz w:val="28"/>
    </w:rPr>
  </w:style>
  <w:style w:styleId="Style_61" w:type="paragraph">
    <w:name w:val="Header and Footer"/>
    <w:link w:val="Style_61_ch"/>
    <w:pPr>
      <w:widowControl w:val="1"/>
      <w:spacing w:line="240" w:lineRule="auto"/>
      <w:ind/>
      <w:jc w:val="both"/>
    </w:pPr>
    <w:rPr>
      <w:rFonts w:ascii="XO Thames" w:hAnsi="XO Thames"/>
      <w:sz w:val="28"/>
    </w:rPr>
  </w:style>
  <w:style w:styleId="Style_61_ch" w:type="character">
    <w:name w:val="Header and Footer"/>
    <w:link w:val="Style_61"/>
    <w:rPr>
      <w:rFonts w:ascii="XO Thames" w:hAnsi="XO Thames"/>
      <w:sz w:val="28"/>
    </w:rPr>
  </w:style>
  <w:style w:styleId="Style_5" w:type="paragraph">
    <w:name w:val="Table Contents"/>
    <w:basedOn w:val="Style_15"/>
    <w:link w:val="Style_5_ch"/>
  </w:style>
  <w:style w:styleId="Style_5_ch" w:type="character">
    <w:name w:val="Table Contents"/>
    <w:basedOn w:val="Style_15_ch"/>
    <w:link w:val="Style_5"/>
  </w:style>
  <w:style w:styleId="Style_62" w:type="paragraph">
    <w:name w:val="WW8Num3z0"/>
    <w:link w:val="Style_62_ch"/>
    <w:rPr>
      <w:rFonts w:ascii="Symbol" w:hAnsi="Symbol"/>
    </w:rPr>
  </w:style>
  <w:style w:styleId="Style_62_ch" w:type="character">
    <w:name w:val="WW8Num3z0"/>
    <w:link w:val="Style_62"/>
    <w:rPr>
      <w:rFonts w:ascii="Symbol" w:hAnsi="Symbol"/>
    </w:rPr>
  </w:style>
  <w:style w:styleId="Style_63" w:type="paragraph">
    <w:name w:val="toc 9"/>
    <w:next w:val="Style_12"/>
    <w:link w:val="Style_63_ch"/>
    <w:uiPriority w:val="39"/>
    <w:pPr>
      <w:widowControl w:val="1"/>
      <w:ind w:firstLine="0" w:left="1600"/>
      <w:jc w:val="left"/>
    </w:pPr>
    <w:rPr>
      <w:rFonts w:ascii="XO Thames" w:hAnsi="XO Thames"/>
      <w:sz w:val="28"/>
    </w:rPr>
  </w:style>
  <w:style w:styleId="Style_63_ch" w:type="character">
    <w:name w:val="toc 9"/>
    <w:link w:val="Style_63"/>
    <w:rPr>
      <w:rFonts w:ascii="XO Thames" w:hAnsi="XO Thames"/>
      <w:sz w:val="28"/>
    </w:rPr>
  </w:style>
  <w:style w:styleId="Style_64" w:type="paragraph">
    <w:name w:val="Caption1111"/>
    <w:basedOn w:val="Style_12"/>
    <w:link w:val="Style_64_ch"/>
    <w:pPr>
      <w:widowControl w:val="1"/>
      <w:spacing w:after="120" w:before="120"/>
      <w:ind/>
    </w:pPr>
    <w:rPr>
      <w:i w:val="1"/>
      <w:sz w:val="24"/>
    </w:rPr>
  </w:style>
  <w:style w:styleId="Style_64_ch" w:type="character">
    <w:name w:val="Caption1111"/>
    <w:basedOn w:val="Style_12_ch"/>
    <w:link w:val="Style_64"/>
    <w:rPr>
      <w:i w:val="1"/>
      <w:sz w:val="24"/>
    </w:rPr>
  </w:style>
  <w:style w:styleId="Style_65" w:type="paragraph">
    <w:name w:val="ConsPlusNormal Знак"/>
    <w:link w:val="Style_65_ch"/>
    <w:rPr>
      <w:rFonts w:ascii="Arial" w:hAnsi="Arial"/>
      <w:sz w:val="20"/>
    </w:rPr>
  </w:style>
  <w:style w:styleId="Style_65_ch" w:type="character">
    <w:name w:val="ConsPlusNormal Знак"/>
    <w:link w:val="Style_65"/>
    <w:rPr>
      <w:rFonts w:ascii="Arial" w:hAnsi="Arial"/>
      <w:sz w:val="20"/>
    </w:rPr>
  </w:style>
  <w:style w:styleId="Style_66" w:type="paragraph">
    <w:name w:val="toc 8"/>
    <w:next w:val="Style_12"/>
    <w:link w:val="Style_66_ch"/>
    <w:uiPriority w:val="39"/>
    <w:pPr>
      <w:widowControl w:val="1"/>
      <w:ind w:firstLine="0" w:left="1400"/>
      <w:jc w:val="left"/>
    </w:pPr>
    <w:rPr>
      <w:rFonts w:ascii="XO Thames" w:hAnsi="XO Thames"/>
      <w:sz w:val="28"/>
    </w:rPr>
  </w:style>
  <w:style w:styleId="Style_66_ch" w:type="character">
    <w:name w:val="toc 8"/>
    <w:link w:val="Style_66"/>
    <w:rPr>
      <w:rFonts w:ascii="XO Thames" w:hAnsi="XO Thames"/>
      <w:sz w:val="28"/>
    </w:rPr>
  </w:style>
  <w:style w:styleId="Style_10" w:type="paragraph">
    <w:name w:val="Абзац списка"/>
    <w:basedOn w:val="Style_12"/>
    <w:link w:val="Style_10_ch"/>
    <w:pPr>
      <w:widowControl w:val="1"/>
      <w:ind w:firstLine="0" w:left="720" w:right="0"/>
    </w:pPr>
    <w:rPr>
      <w:rFonts w:ascii="Times New Roman" w:hAnsi="Times New Roman"/>
    </w:rPr>
  </w:style>
  <w:style w:styleId="Style_10_ch" w:type="character">
    <w:name w:val="Абзац списка"/>
    <w:basedOn w:val="Style_12_ch"/>
    <w:link w:val="Style_10"/>
    <w:rPr>
      <w:rFonts w:ascii="Times New Roman" w:hAnsi="Times New Roman"/>
    </w:rPr>
  </w:style>
  <w:style w:styleId="Style_9" w:type="paragraph">
    <w:name w:val="Body Text"/>
    <w:basedOn w:val="Style_12"/>
    <w:link w:val="Style_9_ch"/>
    <w:pPr>
      <w:widowControl w:val="1"/>
      <w:spacing w:after="120" w:before="0"/>
      <w:ind/>
    </w:pPr>
  </w:style>
  <w:style w:styleId="Style_9_ch" w:type="character">
    <w:name w:val="Body Text"/>
    <w:basedOn w:val="Style_12_ch"/>
    <w:link w:val="Style_9"/>
  </w:style>
  <w:style w:styleId="Style_2" w:type="paragraph">
    <w:name w:val="Основной текст 32"/>
    <w:basedOn w:val="Style_12"/>
    <w:link w:val="Style_2_ch"/>
    <w:pPr>
      <w:widowControl w:val="1"/>
      <w:ind/>
      <w:jc w:val="right"/>
    </w:pPr>
    <w:rPr>
      <w:rFonts w:ascii="Courier New" w:hAnsi="Courier New"/>
    </w:rPr>
  </w:style>
  <w:style w:styleId="Style_2_ch" w:type="character">
    <w:name w:val="Основной текст 32"/>
    <w:basedOn w:val="Style_12_ch"/>
    <w:link w:val="Style_2"/>
    <w:rPr>
      <w:rFonts w:ascii="Courier New" w:hAnsi="Courier New"/>
    </w:rPr>
  </w:style>
  <w:style w:styleId="Style_67" w:type="paragraph">
    <w:name w:val="Заголовок"/>
    <w:basedOn w:val="Style_12"/>
    <w:next w:val="Style_9"/>
    <w:link w:val="Style_67_ch"/>
    <w:pPr>
      <w:keepNext w:val="1"/>
      <w:widowControl w:val="1"/>
      <w:spacing w:after="120" w:before="240"/>
      <w:ind/>
    </w:pPr>
    <w:rPr>
      <w:rFonts w:ascii="Open Sans" w:hAnsi="Open Sans"/>
      <w:sz w:val="28"/>
    </w:rPr>
  </w:style>
  <w:style w:styleId="Style_67_ch" w:type="character">
    <w:name w:val="Заголовок"/>
    <w:basedOn w:val="Style_12_ch"/>
    <w:link w:val="Style_67"/>
    <w:rPr>
      <w:rFonts w:ascii="Open Sans" w:hAnsi="Open Sans"/>
      <w:sz w:val="28"/>
    </w:rPr>
  </w:style>
  <w:style w:styleId="Style_68" w:type="paragraph">
    <w:name w:val="Заголовок таблицы"/>
    <w:basedOn w:val="Style_56"/>
    <w:link w:val="Style_68_ch"/>
    <w:pPr>
      <w:widowControl w:val="1"/>
      <w:ind/>
      <w:jc w:val="center"/>
    </w:pPr>
    <w:rPr>
      <w:b w:val="1"/>
    </w:rPr>
  </w:style>
  <w:style w:styleId="Style_68_ch" w:type="character">
    <w:name w:val="Заголовок таблицы"/>
    <w:basedOn w:val="Style_56_ch"/>
    <w:link w:val="Style_68"/>
    <w:rPr>
      <w:b w:val="1"/>
    </w:rPr>
  </w:style>
  <w:style w:styleId="Style_69" w:type="paragraph">
    <w:name w:val="orgcontacts-phonenumber"/>
    <w:link w:val="Style_69_ch"/>
  </w:style>
  <w:style w:styleId="Style_69_ch" w:type="character">
    <w:name w:val="orgcontacts-phonenumber"/>
    <w:link w:val="Style_69"/>
  </w:style>
  <w:style w:styleId="Style_70" w:type="paragraph">
    <w:name w:val="toc 5"/>
    <w:next w:val="Style_12"/>
    <w:link w:val="Style_70_ch"/>
    <w:uiPriority w:val="39"/>
    <w:pPr>
      <w:widowControl w:val="1"/>
      <w:ind w:firstLine="0" w:left="800"/>
      <w:jc w:val="left"/>
    </w:pPr>
    <w:rPr>
      <w:rFonts w:ascii="XO Thames" w:hAnsi="XO Thames"/>
      <w:sz w:val="28"/>
    </w:rPr>
  </w:style>
  <w:style w:styleId="Style_70_ch" w:type="character">
    <w:name w:val="toc 5"/>
    <w:link w:val="Style_70"/>
    <w:rPr>
      <w:rFonts w:ascii="XO Thames" w:hAnsi="XO Thames"/>
      <w:sz w:val="28"/>
    </w:rPr>
  </w:style>
  <w:style w:styleId="Style_71" w:type="paragraph">
    <w:name w:val="Table Heading"/>
    <w:basedOn w:val="Style_5"/>
    <w:link w:val="Style_71_ch"/>
    <w:pPr>
      <w:widowControl w:val="1"/>
      <w:ind/>
      <w:jc w:val="center"/>
    </w:pPr>
    <w:rPr>
      <w:b w:val="1"/>
    </w:rPr>
  </w:style>
  <w:style w:styleId="Style_71_ch" w:type="character">
    <w:name w:val="Table Heading"/>
    <w:basedOn w:val="Style_5_ch"/>
    <w:link w:val="Style_71"/>
    <w:rPr>
      <w:b w:val="1"/>
    </w:rPr>
  </w:style>
  <w:style w:styleId="Style_72" w:type="paragraph">
    <w:name w:val="Текст сноски Знак"/>
    <w:link w:val="Style_72_ch"/>
    <w:rPr>
      <w:rFonts w:ascii="Calibri" w:hAnsi="Calibri"/>
      <w:sz w:val="20"/>
    </w:rPr>
  </w:style>
  <w:style w:styleId="Style_72_ch" w:type="character">
    <w:name w:val="Текст сноски Знак"/>
    <w:link w:val="Style_72"/>
    <w:rPr>
      <w:rFonts w:ascii="Calibri" w:hAnsi="Calibri"/>
      <w:sz w:val="20"/>
    </w:rPr>
  </w:style>
  <w:style w:styleId="Style_73" w:type="paragraph">
    <w:name w:val="ConsNonformat1"/>
    <w:link w:val="Style_73_ch"/>
    <w:rPr>
      <w:rFonts w:ascii="Courier New" w:hAnsi="Courier New"/>
    </w:rPr>
  </w:style>
  <w:style w:styleId="Style_73_ch" w:type="character">
    <w:name w:val="ConsNonformat1"/>
    <w:link w:val="Style_73"/>
    <w:rPr>
      <w:rFonts w:ascii="Courier New" w:hAnsi="Courier New"/>
    </w:rPr>
  </w:style>
  <w:style w:styleId="Style_74" w:type="paragraph">
    <w:name w:val="Caption111111"/>
    <w:basedOn w:val="Style_12"/>
    <w:link w:val="Style_74_ch"/>
    <w:pPr>
      <w:widowControl w:val="1"/>
      <w:spacing w:after="120" w:before="120"/>
      <w:ind/>
    </w:pPr>
    <w:rPr>
      <w:i w:val="1"/>
      <w:sz w:val="24"/>
    </w:rPr>
  </w:style>
  <w:style w:styleId="Style_74_ch" w:type="character">
    <w:name w:val="Caption111111"/>
    <w:basedOn w:val="Style_12_ch"/>
    <w:link w:val="Style_74"/>
    <w:rPr>
      <w:i w:val="1"/>
      <w:sz w:val="24"/>
    </w:rPr>
  </w:style>
  <w:style w:styleId="Style_75" w:type="paragraph">
    <w:name w:val="Subtitle"/>
    <w:next w:val="Style_12"/>
    <w:link w:val="Style_75_ch"/>
    <w:uiPriority w:val="11"/>
    <w:qFormat/>
    <w:pPr>
      <w:widowControl w:val="1"/>
      <w:ind/>
      <w:jc w:val="both"/>
    </w:pPr>
    <w:rPr>
      <w:rFonts w:ascii="XO Thames" w:hAnsi="XO Thames"/>
      <w:i w:val="1"/>
      <w:sz w:val="24"/>
    </w:rPr>
  </w:style>
  <w:style w:styleId="Style_75_ch" w:type="character">
    <w:name w:val="Subtitle"/>
    <w:link w:val="Style_75"/>
    <w:rPr>
      <w:rFonts w:ascii="XO Thames" w:hAnsi="XO Thames"/>
      <w:i w:val="1"/>
      <w:sz w:val="24"/>
    </w:rPr>
  </w:style>
  <w:style w:styleId="Style_76" w:type="paragraph">
    <w:name w:val="List"/>
    <w:basedOn w:val="Style_3"/>
    <w:link w:val="Style_76_ch"/>
  </w:style>
  <w:style w:styleId="Style_76_ch" w:type="character">
    <w:name w:val="List"/>
    <w:basedOn w:val="Style_3_ch"/>
    <w:link w:val="Style_76"/>
  </w:style>
  <w:style w:styleId="Style_77" w:type="paragraph">
    <w:name w:val="Title"/>
    <w:next w:val="Style_12"/>
    <w:link w:val="Style_77_ch"/>
    <w:uiPriority w:val="10"/>
    <w:qFormat/>
    <w:pPr>
      <w:widowControl w:val="1"/>
      <w:spacing w:after="567" w:before="567"/>
      <w:ind/>
      <w:jc w:val="center"/>
    </w:pPr>
    <w:rPr>
      <w:rFonts w:ascii="XO Thames" w:hAnsi="XO Thames"/>
      <w:b w:val="1"/>
      <w:caps w:val="1"/>
      <w:sz w:val="40"/>
    </w:rPr>
  </w:style>
  <w:style w:styleId="Style_77_ch" w:type="character">
    <w:name w:val="Title"/>
    <w:link w:val="Style_77"/>
    <w:rPr>
      <w:rFonts w:ascii="XO Thames" w:hAnsi="XO Thames"/>
      <w:b w:val="1"/>
      <w:caps w:val="1"/>
      <w:sz w:val="40"/>
    </w:rPr>
  </w:style>
  <w:style w:styleId="Style_78" w:type="paragraph">
    <w:name w:val="heading 4"/>
    <w:next w:val="Style_12"/>
    <w:link w:val="Style_78_ch"/>
    <w:uiPriority w:val="9"/>
    <w:qFormat/>
    <w:pPr>
      <w:widowControl w:val="1"/>
      <w:spacing w:after="120" w:before="120"/>
      <w:ind/>
      <w:jc w:val="both"/>
      <w:outlineLvl w:val="3"/>
    </w:pPr>
    <w:rPr>
      <w:rFonts w:ascii="XO Thames" w:hAnsi="XO Thames"/>
      <w:b w:val="1"/>
      <w:sz w:val="24"/>
    </w:rPr>
  </w:style>
  <w:style w:styleId="Style_78_ch" w:type="character">
    <w:name w:val="heading 4"/>
    <w:link w:val="Style_78"/>
    <w:rPr>
      <w:rFonts w:ascii="XO Thames" w:hAnsi="XO Thames"/>
      <w:b w:val="1"/>
      <w:sz w:val="24"/>
    </w:rPr>
  </w:style>
  <w:style w:styleId="Style_15" w:type="paragraph">
    <w:name w:val="Standard"/>
    <w:link w:val="Style_15_ch"/>
    <w:pPr>
      <w:widowControl w:val="1"/>
      <w:ind/>
    </w:pPr>
    <w:rPr>
      <w:rFonts w:ascii="Liberation Serif" w:hAnsi="Liberation Serif"/>
      <w:color w:val="000000"/>
      <w:sz w:val="24"/>
    </w:rPr>
  </w:style>
  <w:style w:styleId="Style_15_ch" w:type="character">
    <w:name w:val="Standard"/>
    <w:link w:val="Style_15"/>
    <w:rPr>
      <w:rFonts w:ascii="Liberation Serif" w:hAnsi="Liberation Serif"/>
      <w:color w:val="000000"/>
      <w:sz w:val="24"/>
    </w:rPr>
  </w:style>
  <w:style w:styleId="Style_79" w:type="paragraph">
    <w:name w:val="Основной текст с отступом 2 Знак"/>
    <w:link w:val="Style_79_ch"/>
    <w:rPr>
      <w:sz w:val="24"/>
    </w:rPr>
  </w:style>
  <w:style w:styleId="Style_79_ch" w:type="character">
    <w:name w:val="Основной текст с отступом 2 Знак"/>
    <w:link w:val="Style_79"/>
    <w:rPr>
      <w:sz w:val="24"/>
    </w:rPr>
  </w:style>
  <w:style w:styleId="Style_1" w:type="paragraph">
    <w:name w:val="heading 2"/>
    <w:basedOn w:val="Style_12"/>
    <w:next w:val="Style_12"/>
    <w:link w:val="Style_1_ch"/>
    <w:uiPriority w:val="9"/>
    <w:qFormat/>
    <w:pPr>
      <w:keepNext w:val="1"/>
      <w:widowControl w:val="1"/>
      <w:numPr>
        <w:ilvl w:val="1"/>
        <w:numId w:val="2"/>
      </w:numPr>
      <w:spacing w:after="60" w:before="240"/>
      <w:ind/>
      <w:outlineLvl w:val="1"/>
    </w:pPr>
    <w:rPr>
      <w:rFonts w:ascii="Cambria" w:hAnsi="Cambria"/>
      <w:b w:val="1"/>
      <w:i w:val="1"/>
      <w:sz w:val="28"/>
    </w:rPr>
  </w:style>
  <w:style w:styleId="Style_1_ch" w:type="character">
    <w:name w:val="heading 2"/>
    <w:basedOn w:val="Style_12_ch"/>
    <w:link w:val="Style_1"/>
    <w:rPr>
      <w:rFonts w:ascii="Cambria" w:hAnsi="Cambria"/>
      <w:b w:val="1"/>
      <w:i w:val="1"/>
      <w:sz w:val="28"/>
    </w:rPr>
  </w:style>
  <w:style w:styleId="Style_80" w:type="paragraph">
    <w:name w:val="Index"/>
    <w:basedOn w:val="Style_15"/>
    <w:link w:val="Style_80_ch"/>
  </w:style>
  <w:style w:styleId="Style_80_ch" w:type="character">
    <w:name w:val="Index"/>
    <w:basedOn w:val="Style_15_ch"/>
    <w:link w:val="Style_80"/>
  </w:style>
  <w:style w:default="1" w:styleId="Style_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7" Target="numbering.xml" Type="http://schemas.openxmlformats.org/officeDocument/2006/relationships/numbering"/>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MyOffice-CoreFramework-Linux/37-1367.1091.10011.1001.1@92c86c4fc59398dd64f1786b019b76a317813c64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2026-08-04T11:49:31Z</dcterms:created>
  <dcterms:modified xsi:type="dcterms:W3CDTF">2026-08-06T07:12:59Z</dcterms:modified>
</cp:coreProperties>
</file>