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03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приказу </w:t>
      </w:r>
      <w:r>
        <w:rPr>
          <w:rFonts w:ascii="Times New Roman" w:hAnsi="Times New Roman"/>
          <w:sz w:val="28"/>
        </w:rPr>
        <w:t xml:space="preserve">Министерства </w:t>
      </w:r>
      <w:r>
        <w:rPr>
          <w:rFonts w:ascii="Times New Roman" w:hAnsi="Times New Roman"/>
          <w:sz w:val="28"/>
        </w:rPr>
        <w:t>финансов</w:t>
      </w:r>
      <w:r>
        <w:rPr>
          <w:rFonts w:ascii="Times New Roman" w:hAnsi="Times New Roman"/>
          <w:sz w:val="28"/>
        </w:rPr>
        <w:t xml:space="preserve"> и бюджетного контроля </w:t>
      </w:r>
      <w:r>
        <w:rPr>
          <w:rFonts w:ascii="Times New Roman" w:hAnsi="Times New Roman"/>
          <w:sz w:val="28"/>
        </w:rPr>
        <w:t>Курской области</w:t>
      </w:r>
    </w:p>
    <w:p w14:paraId="04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12.10.2026 № 84н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rPr>
          <w:rFonts w:ascii="Times New Roman" w:hAnsi="Times New Roman"/>
          <w:sz w:val="28"/>
        </w:rPr>
      </w:pPr>
    </w:p>
    <w:p w14:paraId="08000000">
      <w:pPr>
        <w:pStyle w:val="Style_3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</w:t>
      </w:r>
      <w:r>
        <w:rPr>
          <w:rFonts w:ascii="Times New Roman" w:hAnsi="Times New Roman"/>
          <w:b w:val="1"/>
          <w:color w:val="000000"/>
          <w:sz w:val="28"/>
        </w:rPr>
        <w:t xml:space="preserve">еречень муниципальных образований Курской области, </w:t>
      </w:r>
      <w:r>
        <w:rPr>
          <w:rFonts w:ascii="Times New Roman" w:hAnsi="Times New Roman"/>
          <w:b w:val="1"/>
          <w:color w:val="000000"/>
          <w:sz w:val="28"/>
        </w:rPr>
        <w:t xml:space="preserve">в бюджетах которых доля дотаций из других бюджетов бюджетной системы Российской Федерации </w:t>
      </w:r>
      <w:r>
        <w:rPr>
          <w:rFonts w:ascii="Times New Roman" w:hAnsi="Times New Roman"/>
          <w:b w:val="1"/>
          <w:sz w:val="28"/>
        </w:rPr>
        <w:t>(без учета дотаций местным бюджетам, предоставленных в целях со</w:t>
      </w:r>
      <w:r>
        <w:rPr>
          <w:rFonts w:ascii="Times New Roman" w:hAnsi="Times New Roman"/>
          <w:b w:val="1"/>
          <w:sz w:val="28"/>
        </w:rPr>
        <w:t xml:space="preserve">действия достижению и поощрения </w:t>
      </w:r>
      <w:r>
        <w:rPr>
          <w:rFonts w:ascii="Times New Roman" w:hAnsi="Times New Roman"/>
          <w:b w:val="1"/>
          <w:sz w:val="28"/>
        </w:rPr>
        <w:t xml:space="preserve">достижения наилучших значений показателей </w:t>
      </w:r>
    </w:p>
    <w:p w14:paraId="09000000">
      <w:pPr>
        <w:pStyle w:val="Style_3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социально-экономического раз</w:t>
      </w:r>
      <w:r>
        <w:rPr>
          <w:rFonts w:ascii="Times New Roman" w:hAnsi="Times New Roman"/>
          <w:b w:val="1"/>
          <w:sz w:val="28"/>
        </w:rPr>
        <w:t>вития муниципальных образований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A000000">
      <w:pPr>
        <w:pStyle w:val="Style_3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и поощрения за лучшие практики деятельности органов местного самоуправления)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и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</w:t>
      </w:r>
      <w:r>
        <w:rPr>
          <w:rFonts w:ascii="Times New Roman" w:hAnsi="Times New Roman"/>
          <w:b w:val="1"/>
          <w:color w:val="000000"/>
          <w:sz w:val="28"/>
        </w:rPr>
        <w:t xml:space="preserve">ельными нормативами отчислений, </w:t>
      </w:r>
      <w:r>
        <w:rPr>
          <w:rFonts w:ascii="Times New Roman" w:hAnsi="Times New Roman"/>
          <w:b w:val="1"/>
          <w:color w:val="000000"/>
          <w:sz w:val="28"/>
        </w:rPr>
        <w:t>в течение двух из трех последних отчетных финансовых лет не превышала 5 процентов доходов местного бюджета, за исключением субвенций и иных межбюджетных трансфертов, предоставляемых на</w:t>
      </w:r>
      <w:r>
        <w:rPr>
          <w:rFonts w:ascii="Times New Roman" w:hAnsi="Times New Roman"/>
          <w:b w:val="1"/>
          <w:color w:val="000000"/>
          <w:sz w:val="28"/>
        </w:rPr>
        <w:t xml:space="preserve"> осуществление части полномочий по решению вопросов местного значения в соответствии </w:t>
      </w:r>
    </w:p>
    <w:p w14:paraId="0B000000">
      <w:pPr>
        <w:pStyle w:val="Style_3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 соглашениями, заключенными муниципальным районом </w:t>
      </w:r>
    </w:p>
    <w:p w14:paraId="0C000000">
      <w:pPr>
        <w:pStyle w:val="Style_3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и поселениями</w:t>
      </w:r>
    </w:p>
    <w:p w14:paraId="0D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25"/>
        <w:gridCol w:w="7446"/>
      </w:tblGrid>
      <w:tr>
        <w:trPr>
          <w:trHeight w:hRule="atLeast" w:val="58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z w:val="28"/>
              </w:rPr>
              <w:t>п</w:t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>п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муниципального образования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rPr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Городские </w:t>
            </w:r>
            <w:r>
              <w:rPr>
                <w:b w:val="1"/>
                <w:color w:val="000000"/>
                <w:sz w:val="28"/>
              </w:rPr>
              <w:t>округа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rPr>
                <w:sz w:val="28"/>
              </w:rPr>
            </w:pPr>
            <w:r>
              <w:rPr>
                <w:sz w:val="28"/>
              </w:rPr>
              <w:t>город Железногорск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rPr>
                <w:sz w:val="28"/>
              </w:rPr>
            </w:pPr>
            <w:r>
              <w:rPr>
                <w:sz w:val="28"/>
              </w:rPr>
              <w:t>город Курск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rPr>
                <w:sz w:val="28"/>
              </w:rPr>
            </w:pPr>
            <w:r>
              <w:rPr>
                <w:sz w:val="28"/>
              </w:rPr>
              <w:t>город Курчатов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rPr>
                <w:b w:val="1"/>
                <w:sz w:val="28"/>
              </w:rPr>
            </w:pPr>
            <w:r>
              <w:rPr>
                <w:b w:val="1"/>
                <w:color w:val="000000"/>
                <w:sz w:val="28"/>
              </w:rPr>
              <w:t>Городские и сельские поселения</w:t>
            </w:r>
            <w:r>
              <w:rPr>
                <w:b w:val="1"/>
                <w:color w:val="000000"/>
                <w:sz w:val="28"/>
              </w:rPr>
              <w:t xml:space="preserve">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Горшеченский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</w:rPr>
              <w:t>оселок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Горшечное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Дмитриевский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rPr>
                <w:sz w:val="28"/>
              </w:rPr>
            </w:pPr>
            <w:r>
              <w:rPr>
                <w:sz w:val="28"/>
              </w:rPr>
              <w:t>Почепский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rPr>
                <w:rFonts w:ascii="Times New Roman CYR" w:hAnsi="Times New Roman CYR"/>
                <w:sz w:val="28"/>
              </w:rPr>
            </w:pPr>
            <w:r>
              <w:rPr>
                <w:b w:val="1"/>
                <w:sz w:val="28"/>
              </w:rPr>
              <w:t>Железногорский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Андросовский</w:t>
            </w:r>
            <w:r>
              <w:rPr>
                <w:rFonts w:ascii="Times New Roman CYR" w:hAnsi="Times New Roman CYR"/>
                <w:sz w:val="28"/>
              </w:rPr>
              <w:t xml:space="preserve"> </w:t>
            </w:r>
            <w:r>
              <w:rPr>
                <w:rFonts w:ascii="Times New Roman CYR" w:hAnsi="Times New Roman CYR"/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Веретенинский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rPr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Волковский</w:t>
            </w:r>
            <w:r>
              <w:rPr>
                <w:rFonts w:ascii="Times New Roman CYR" w:hAnsi="Times New Roman CYR"/>
                <w:sz w:val="28"/>
              </w:rPr>
              <w:t xml:space="preserve"> </w:t>
            </w:r>
            <w:r>
              <w:rPr>
                <w:rFonts w:ascii="Times New Roman CYR" w:hAnsi="Times New Roman CYR"/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Городновский</w:t>
            </w:r>
            <w:r>
              <w:rPr>
                <w:rFonts w:ascii="Times New Roman CYR" w:hAnsi="Times New Roman CYR"/>
                <w:sz w:val="28"/>
              </w:rPr>
              <w:t xml:space="preserve"> </w:t>
            </w:r>
            <w:r>
              <w:rPr>
                <w:rFonts w:ascii="Times New Roman CYR" w:hAnsi="Times New Roman CYR"/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Линецкий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rPr>
                <w:sz w:val="28"/>
              </w:rPr>
            </w:pPr>
            <w:r>
              <w:rPr>
                <w:sz w:val="28"/>
              </w:rPr>
              <w:t>Троицкий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00000">
            <w:pPr>
              <w:rPr>
                <w:b w:val="1"/>
                <w:color w:val="000000"/>
                <w:sz w:val="28"/>
              </w:rPr>
            </w:pPr>
            <w:r>
              <w:rPr>
                <w:rFonts w:ascii="Times New Roman CYR" w:hAnsi="Times New Roman CYR"/>
                <w:b w:val="1"/>
                <w:sz w:val="28"/>
              </w:rPr>
              <w:t>Касторенский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Котовский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rPr>
                <w:rFonts w:ascii="Times New Roman CYR" w:hAnsi="Times New Roman CYR"/>
                <w:sz w:val="28"/>
              </w:rPr>
            </w:pPr>
            <w:r>
              <w:rPr>
                <w:b w:val="1"/>
                <w:sz w:val="28"/>
              </w:rPr>
              <w:t>Конышевский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Ваблинский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Платавский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Обоянский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00000">
            <w:pPr>
              <w:rPr>
                <w:sz w:val="28"/>
              </w:rPr>
            </w:pPr>
            <w:r>
              <w:rPr>
                <w:sz w:val="28"/>
              </w:rPr>
              <w:t xml:space="preserve">город </w:t>
            </w:r>
            <w:r>
              <w:rPr>
                <w:sz w:val="28"/>
              </w:rPr>
              <w:t>Обоянь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Рыльский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rPr>
                <w:sz w:val="28"/>
              </w:rPr>
            </w:pPr>
            <w:r>
              <w:rPr>
                <w:sz w:val="28"/>
              </w:rPr>
              <w:t>Березниковский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Советский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rPr>
                <w:sz w:val="28"/>
              </w:rPr>
            </w:pPr>
            <w:r>
              <w:rPr>
                <w:sz w:val="28"/>
              </w:rPr>
              <w:t>поселок Кшенский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Солнцевский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rPr>
                <w:sz w:val="28"/>
              </w:rPr>
            </w:pPr>
            <w:r>
              <w:rPr>
                <w:sz w:val="28"/>
              </w:rPr>
              <w:t>поселок Солнцево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Суджанский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00000">
            <w:pPr>
              <w:rPr>
                <w:sz w:val="28"/>
              </w:rPr>
            </w:pPr>
            <w:r>
              <w:rPr>
                <w:sz w:val="28"/>
              </w:rPr>
              <w:t>город Суджа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b w:val="1"/>
                <w:sz w:val="28"/>
              </w:rPr>
              <w:t>Тимский район</w:t>
            </w:r>
            <w:r>
              <w:rPr>
                <w:rFonts w:ascii="Times New Roman CYR" w:hAnsi="Times New Roman CYR"/>
                <w:b w:val="1"/>
                <w:sz w:val="28"/>
              </w:rPr>
              <w:t xml:space="preserve"> </w:t>
            </w:r>
            <w:r>
              <w:rPr>
                <w:rFonts w:ascii="Times New Roman CYR" w:hAnsi="Times New Roman CYR"/>
                <w:b w:val="1"/>
                <w:sz w:val="28"/>
              </w:rPr>
              <w:t xml:space="preserve">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Барковский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>
              <w:rPr>
                <w:color w:val="000000"/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Ленинский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rPr>
                <w:rFonts w:ascii="Times New Roman CYR" w:hAnsi="Times New Roman CYR"/>
                <w:b w:val="1"/>
                <w:sz w:val="28"/>
              </w:rPr>
            </w:pPr>
            <w:r>
              <w:rPr>
                <w:rFonts w:ascii="Times New Roman CYR" w:hAnsi="Times New Roman CYR"/>
                <w:b w:val="1"/>
                <w:sz w:val="28"/>
              </w:rPr>
              <w:t>Щигровский</w:t>
            </w:r>
            <w:r>
              <w:rPr>
                <w:rFonts w:ascii="Times New Roman CYR" w:hAnsi="Times New Roman CYR"/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>
              <w:rPr>
                <w:color w:val="000000"/>
                <w:sz w:val="28"/>
              </w:rPr>
              <w:t>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Касиновский</w:t>
            </w:r>
            <w:r>
              <w:rPr>
                <w:sz w:val="28"/>
              </w:rPr>
              <w:t xml:space="preserve"> сельсовет</w:t>
            </w:r>
          </w:p>
        </w:tc>
      </w:tr>
    </w:tbl>
    <w:p w14:paraId="5A00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5B000000"/>
    <w:p w14:paraId="5C000000"/>
    <w:p w14:paraId="5D000000"/>
    <w:p w14:paraId="5E000000"/>
    <w:p w14:paraId="5F000000"/>
    <w:p w14:paraId="60000000"/>
    <w:p w14:paraId="61000000"/>
    <w:p w14:paraId="62000000"/>
    <w:p w14:paraId="63000000"/>
    <w:p w14:paraId="64000000"/>
    <w:p w14:paraId="65000000"/>
    <w:p w14:paraId="66000000"/>
    <w:p w14:paraId="67000000"/>
    <w:p w14:paraId="68000000"/>
    <w:p w14:paraId="69000000"/>
    <w:p w14:paraId="6A000000"/>
    <w:p w14:paraId="6B000000"/>
    <w:p w14:paraId="6C000000"/>
    <w:p w14:paraId="6D000000"/>
    <w:p w14:paraId="6E000000"/>
    <w:p w14:paraId="6F000000"/>
    <w:p w14:paraId="70000000"/>
    <w:sectPr>
      <w:headerReference r:id="rId1" w:type="default"/>
      <w:pgSz w:h="16838" w:orient="portrait" w:w="11906"/>
      <w:pgMar w:bottom="1134" w:footer="709" w:gutter="0" w:header="567" w:left="1701" w:right="113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4"/>
    </w:rPr>
  </w:style>
  <w:style w:default="1" w:styleId="Style_5_ch" w:type="character">
    <w:name w:val="Normal"/>
    <w:link w:val="Style_5"/>
    <w:rPr>
      <w:rFonts w:ascii="Times New Roman" w:hAnsi="Times New Roman"/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 Paragraph"/>
    <w:basedOn w:val="Style_5"/>
    <w:link w:val="Style_11_ch"/>
    <w:pPr>
      <w:ind w:firstLine="0" w:left="720"/>
      <w:contextualSpacing w:val="1"/>
    </w:pPr>
  </w:style>
  <w:style w:styleId="Style_11_ch" w:type="character">
    <w:name w:val="List Paragraph"/>
    <w:basedOn w:val="Style_5_ch"/>
    <w:link w:val="Style_11"/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ConsPlusTitle"/>
    <w:link w:val="Style_15_ch"/>
    <w:pPr>
      <w:widowControl w:val="0"/>
      <w:ind/>
    </w:pPr>
    <w:rPr>
      <w:rFonts w:ascii="Calibri" w:hAnsi="Calibri"/>
      <w:b w:val="1"/>
    </w:rPr>
  </w:style>
  <w:style w:styleId="Style_15_ch" w:type="character">
    <w:name w:val="ConsPlusTitle"/>
    <w:link w:val="Style_15"/>
    <w:rPr>
      <w:rFonts w:ascii="Calibri" w:hAnsi="Calibri"/>
      <w:b w:val="1"/>
    </w:rPr>
  </w:style>
  <w:style w:styleId="Style_16" w:type="paragraph">
    <w:name w:val="Balloon Text"/>
    <w:basedOn w:val="Style_5"/>
    <w:link w:val="Style_16_ch"/>
    <w:rPr>
      <w:rFonts w:ascii="Tahoma" w:hAnsi="Tahoma"/>
      <w:sz w:val="16"/>
    </w:rPr>
  </w:style>
  <w:style w:styleId="Style_16_ch" w:type="character">
    <w:name w:val="Balloon Text"/>
    <w:basedOn w:val="Style_5_ch"/>
    <w:link w:val="Style_16"/>
    <w:rPr>
      <w:rFonts w:ascii="Tahoma" w:hAnsi="Tahoma"/>
      <w:sz w:val="16"/>
    </w:rPr>
  </w:style>
  <w:style w:styleId="Style_17" w:type="paragraph">
    <w:name w:val="Hyperlink"/>
    <w:basedOn w:val="Style_18"/>
    <w:link w:val="Style_17_ch"/>
    <w:rPr>
      <w:color w:val="0000FF"/>
      <w:u w:val="single"/>
    </w:rPr>
  </w:style>
  <w:style w:styleId="Style_17_ch" w:type="character">
    <w:name w:val="Hyperlink"/>
    <w:basedOn w:val="Style_18_ch"/>
    <w:link w:val="Style_17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ConsNonformat"/>
    <w:link w:val="Style_20_ch"/>
    <w:pPr>
      <w:widowControl w:val="0"/>
      <w:ind w:right="19772"/>
    </w:pPr>
    <w:rPr>
      <w:rFonts w:ascii="Courier New" w:hAnsi="Courier New"/>
      <w:sz w:val="20"/>
    </w:rPr>
  </w:style>
  <w:style w:styleId="Style_20_ch" w:type="character">
    <w:name w:val="ConsNonformat"/>
    <w:link w:val="Style_20"/>
    <w:rPr>
      <w:rFonts w:ascii="Courier New" w:hAnsi="Courier New"/>
      <w:sz w:val="20"/>
    </w:rPr>
  </w:style>
  <w:style w:styleId="Style_21" w:type="paragraph">
    <w:name w:val="toc 1"/>
    <w:next w:val="Style_5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5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Body Text 2"/>
    <w:basedOn w:val="Style_5"/>
    <w:link w:val="Style_24_ch"/>
    <w:pPr>
      <w:ind/>
      <w:jc w:val="both"/>
    </w:pPr>
    <w:rPr>
      <w:sz w:val="28"/>
    </w:rPr>
  </w:style>
  <w:style w:styleId="Style_24_ch" w:type="character">
    <w:name w:val="Body Text 2"/>
    <w:basedOn w:val="Style_5_ch"/>
    <w:link w:val="Style_24"/>
    <w:rPr>
      <w:sz w:val="28"/>
    </w:rPr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footer"/>
    <w:basedOn w:val="Style_5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footer"/>
    <w:basedOn w:val="Style_5_ch"/>
    <w:link w:val="Style_27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8" w:type="paragraph">
    <w:name w:val="Subtitle"/>
    <w:basedOn w:val="Style_5"/>
    <w:link w:val="Style_28_ch"/>
    <w:uiPriority w:val="11"/>
    <w:qFormat/>
    <w:pPr>
      <w:ind/>
      <w:jc w:val="center"/>
    </w:pPr>
    <w:rPr>
      <w:b w:val="1"/>
      <w:sz w:val="44"/>
    </w:rPr>
  </w:style>
  <w:style w:styleId="Style_28_ch" w:type="character">
    <w:name w:val="Subtitle"/>
    <w:basedOn w:val="Style_5_ch"/>
    <w:link w:val="Style_28"/>
    <w:rPr>
      <w:b w:val="1"/>
      <w:sz w:val="44"/>
    </w:rPr>
  </w:style>
  <w:style w:styleId="Style_29" w:type="paragraph">
    <w:name w:val="ConsPlusTitlePage"/>
    <w:link w:val="Style_29_ch"/>
    <w:pPr>
      <w:widowControl w:val="0"/>
      <w:ind/>
    </w:pPr>
    <w:rPr>
      <w:rFonts w:ascii="Tahoma" w:hAnsi="Tahoma"/>
      <w:sz w:val="20"/>
    </w:rPr>
  </w:style>
  <w:style w:styleId="Style_29_ch" w:type="character">
    <w:name w:val="ConsPlusTitlePage"/>
    <w:link w:val="Style_29"/>
    <w:rPr>
      <w:rFonts w:ascii="Tahoma" w:hAnsi="Tahoma"/>
      <w:sz w:val="20"/>
    </w:rPr>
  </w:style>
  <w:style w:styleId="Style_30" w:type="paragraph">
    <w:name w:val="Body Text Indent"/>
    <w:basedOn w:val="Style_5"/>
    <w:link w:val="Style_30_ch"/>
    <w:pPr>
      <w:ind w:firstLine="709" w:left="0"/>
      <w:jc w:val="both"/>
    </w:pPr>
    <w:rPr>
      <w:sz w:val="28"/>
    </w:rPr>
  </w:style>
  <w:style w:styleId="Style_30_ch" w:type="character">
    <w:name w:val="Body Text Indent"/>
    <w:basedOn w:val="Style_5_ch"/>
    <w:link w:val="Style_30"/>
    <w:rPr>
      <w:sz w:val="28"/>
    </w:rPr>
  </w:style>
  <w:style w:styleId="Style_31" w:type="paragraph">
    <w:name w:val="Обычный1"/>
    <w:link w:val="Style_31_ch"/>
    <w:rPr>
      <w:rFonts w:ascii="Times New Roman" w:hAnsi="Times New Roman"/>
      <w:b w:val="1"/>
      <w:sz w:val="28"/>
    </w:rPr>
  </w:style>
  <w:style w:styleId="Style_31_ch" w:type="character">
    <w:name w:val="Обычный1"/>
    <w:link w:val="Style_31"/>
    <w:rPr>
      <w:rFonts w:ascii="Times New Roman" w:hAnsi="Times New Roman"/>
      <w:b w:val="1"/>
      <w:sz w:val="28"/>
    </w:rPr>
  </w:style>
  <w:style w:styleId="Style_32" w:type="paragraph">
    <w:name w:val="название"/>
    <w:basedOn w:val="Style_5"/>
    <w:link w:val="Style_32_ch"/>
    <w:pPr>
      <w:ind/>
      <w:jc w:val="center"/>
    </w:pPr>
    <w:rPr>
      <w:b w:val="1"/>
    </w:rPr>
  </w:style>
  <w:style w:styleId="Style_32_ch" w:type="character">
    <w:name w:val="название"/>
    <w:basedOn w:val="Style_5_ch"/>
    <w:link w:val="Style_32"/>
    <w:rPr>
      <w:b w:val="1"/>
    </w:rPr>
  </w:style>
  <w:style w:styleId="Style_33" w:type="paragraph">
    <w:name w:val="Title"/>
    <w:basedOn w:val="Style_5"/>
    <w:link w:val="Style_33_ch"/>
    <w:uiPriority w:val="10"/>
    <w:qFormat/>
    <w:pPr>
      <w:ind/>
      <w:jc w:val="center"/>
      <w:outlineLvl w:val="0"/>
    </w:pPr>
    <w:rPr>
      <w:b w:val="1"/>
    </w:rPr>
  </w:style>
  <w:style w:styleId="Style_33_ch" w:type="character">
    <w:name w:val="Title"/>
    <w:basedOn w:val="Style_5_ch"/>
    <w:link w:val="Style_33"/>
    <w:rPr>
      <w:b w:val="1"/>
    </w:rPr>
  </w:style>
  <w:style w:styleId="Style_34" w:type="paragraph">
    <w:name w:val="heading 4"/>
    <w:next w:val="Style_5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5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2026-10-12T14:06:13Z</dcterms:modified>
</cp:coreProperties>
</file>