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CFD85">
      <w:pPr>
        <w:jc w:val="center"/>
        <w:rPr>
          <w:b/>
          <w:sz w:val="28"/>
          <w:szCs w:val="28"/>
        </w:rPr>
      </w:pPr>
      <w:bookmarkStart w:id="2" w:name="_GoBack"/>
      <w:bookmarkEnd w:id="2"/>
      <w:r>
        <w:rPr>
          <w:b/>
          <w:sz w:val="28"/>
          <w:szCs w:val="28"/>
        </w:rPr>
        <w:t xml:space="preserve">Годовой отчет </w:t>
      </w:r>
    </w:p>
    <w:p w14:paraId="78A91A4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ходе реализации и оценке эффективности </w:t>
      </w:r>
    </w:p>
    <w:p w14:paraId="1B5791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государственной программы Курской области «Реализация </w:t>
      </w:r>
    </w:p>
    <w:p w14:paraId="4BE759E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государственной политики в сфере печати и массовой информации </w:t>
      </w:r>
    </w:p>
    <w:p w14:paraId="4A03CFD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Курской области» за 2024</w:t>
      </w:r>
      <w:r>
        <w:rPr>
          <w:rFonts w:hint="default"/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</w:rPr>
        <w:t>год</w:t>
      </w:r>
    </w:p>
    <w:p w14:paraId="1DF3E6CB">
      <w:pPr>
        <w:jc w:val="center"/>
        <w:rPr>
          <w:b/>
          <w:sz w:val="28"/>
          <w:szCs w:val="28"/>
        </w:rPr>
      </w:pPr>
    </w:p>
    <w:p w14:paraId="13C61D7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Государственная программа Курской области «Реализация государственной политики в сфере печати и массовой информации в Курской области» (далее – государственная программа) утверждена постановлением Администрации Курской области от 02.10.2013г.                   № 692-па (с изменениями и дополнениями).</w:t>
      </w:r>
    </w:p>
    <w:p w14:paraId="3472B4E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>Основными целями государственной программы Курской области «Реализация государственной политики в сфере печати и массовой информации в Курской области» (далее – государственной программы) являются:</w:t>
      </w:r>
    </w:p>
    <w:p w14:paraId="4303247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>- обеспечение конституционного права граждан на получение объективной информации о деятельности Губернатора Курской области и органов исполнительной власти Курской области;</w:t>
      </w:r>
    </w:p>
    <w:p w14:paraId="4BBAD89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>- сохранение и развитие государственного информационного ресурса Курской области.</w:t>
      </w:r>
    </w:p>
    <w:p w14:paraId="7CA589A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>Для достижения поставленных целей в рамках реализации государственной программы решались следующие основные задачи:</w:t>
      </w:r>
    </w:p>
    <w:p w14:paraId="0072C79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>- информационное обеспечение деятельности Губернатора Курской области, Правительства Курской области, исполнительных органов Курской области и интеграция Курской области в российское и мировое информационное пространство и укрепление положительного имиджа Курской области;</w:t>
      </w:r>
    </w:p>
    <w:p w14:paraId="688D9C0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>-сохранение и развитие государственных средств массовой информации в целях обеспечения права жителей Курской области на получение информации;</w:t>
      </w:r>
    </w:p>
    <w:p w14:paraId="4161DBD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-реализация государственной политики в сфере печати и массовой информации.</w:t>
      </w:r>
    </w:p>
    <w:p w14:paraId="4373AD42">
      <w:pPr>
        <w:jc w:val="both"/>
        <w:rPr>
          <w:sz w:val="28"/>
          <w:szCs w:val="28"/>
        </w:rPr>
      </w:pPr>
      <w:r>
        <w:rPr>
          <w:sz w:val="20"/>
          <w:szCs w:val="20"/>
        </w:rPr>
        <w:tab/>
      </w:r>
      <w:r>
        <w:rPr>
          <w:sz w:val="28"/>
          <w:szCs w:val="28"/>
        </w:rPr>
        <w:t xml:space="preserve">Активная информационная политика, проводимая </w:t>
      </w:r>
      <w:bookmarkStart w:id="0" w:name="_Hlk158979427"/>
      <w:r>
        <w:rPr>
          <w:sz w:val="28"/>
          <w:szCs w:val="28"/>
        </w:rPr>
        <w:t>Министерством информации и общественных коммуникаций Курской области</w:t>
      </w:r>
      <w:bookmarkEnd w:id="0"/>
      <w:r>
        <w:rPr>
          <w:sz w:val="28"/>
          <w:szCs w:val="28"/>
        </w:rPr>
        <w:t xml:space="preserve"> (далее – Министерство), дала положительные результаты. Наиболее актуальная информация, интересующая население, находила отражение в эфире                 теле- и радиокомпаний, на страницах печатных изданий, на сайте информационного агентства. Происходящие в Курской области события достаточно активно освещались и в федеральных СМИ. </w:t>
      </w:r>
    </w:p>
    <w:p w14:paraId="20EDBB2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 xml:space="preserve">Благодаря проводимым мероприятиям по поддержке средств массовой информации сохранен государственный информационный ресурс, который обеспечивает конституционное право граждан на получение объективной информации о деятельности Губернатора и Правительства Курской области, о событиях регионального и муниципального уровней. </w:t>
      </w:r>
    </w:p>
    <w:p w14:paraId="17F799F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 xml:space="preserve">Показатели реализации государственной программы оцениваются для государственной программы в целом и по комплексам процессных мероприятий: «Обеспечение эффективной информационной политики и развитие государственных средств массовой информации», «Обеспечение деятельности Министерства информации и общественных коммуникаций Курской области и мероприятий в сфере печати и массовой информации»: </w:t>
      </w:r>
    </w:p>
    <w:p w14:paraId="486A13A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один показатель государственной программы - «Уровень удовлетворённости населения Курской области информационным освещением деятельности органов власти Курской области»;</w:t>
      </w:r>
    </w:p>
    <w:p w14:paraId="3DE2C2F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семь показателей комплекса процессных мероприятий: «Обеспечение эффективной информационной политики и развитие государственных средств массовой информации»: </w:t>
      </w:r>
    </w:p>
    <w:p w14:paraId="5D4B9AD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«Количество информационных агентств и (или) других сетевых изданий, распространяющих информацию о Курской области».</w:t>
      </w:r>
    </w:p>
    <w:p w14:paraId="77B9A97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«Количество информационных материалов, размещенных в федеральных и региональных СМИ, о деятельности Губернатора Курской области, первого заместителя Губернатора Курской области - Председателя Правительства Курской области, исполнительных органов Курской области».</w:t>
      </w:r>
    </w:p>
    <w:p w14:paraId="0AED30D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«Количество организованных творческих конкурсов в установленной сфере деятельности». </w:t>
      </w:r>
    </w:p>
    <w:p w14:paraId="3D1C1A31">
      <w:pPr>
        <w:ind w:firstLine="709"/>
        <w:jc w:val="both"/>
      </w:pPr>
      <w:r>
        <w:rPr>
          <w:sz w:val="28"/>
          <w:szCs w:val="28"/>
        </w:rPr>
        <w:t>4. «Количество выпускаемых номеров газет в год</w:t>
      </w:r>
      <w:r>
        <w:t xml:space="preserve">». </w:t>
      </w:r>
    </w:p>
    <w:p w14:paraId="41C736B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>
        <w:t xml:space="preserve"> </w:t>
      </w:r>
      <w:r>
        <w:rPr>
          <w:sz w:val="28"/>
          <w:szCs w:val="28"/>
        </w:rPr>
        <w:t>«Объем собственного вещания областного канала телевидения».</w:t>
      </w:r>
    </w:p>
    <w:p w14:paraId="39A3DFE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«Объем собственного вещания областного радиоканала». </w:t>
      </w:r>
    </w:p>
    <w:p w14:paraId="011CC83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 «Количество размещённых информационных материалов в сетевом издании»;</w:t>
      </w:r>
    </w:p>
    <w:p w14:paraId="59444A5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один показатель комплекса процессных мероприятий, «Обеспечение деятельности Министерства информации и общественных коммуникаций Курской области и мероприятий в сфере печати и массовой информации»:</w:t>
      </w:r>
    </w:p>
    <w:p w14:paraId="031DB5A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Количество номинаций, в которых присуждена премия Губернатора Курской области в сфере средств массовой информации и массовых коммуникаций.</w:t>
      </w:r>
    </w:p>
    <w:p w14:paraId="392182C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процессе реализации государственной программы «Реализация государственной политики в сфере печати и массовой информации в Курской области» все структурные элементы выполнены в соответствии с установленными параметрами и сроками.</w:t>
      </w:r>
    </w:p>
    <w:p w14:paraId="22CC471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Негативных факторов, повлиявших на ход реализации государственной программы не выявлено, т.к. все плановые значения показателей и результатов государственной программы и ее структурных элементов в отчетном году выполнены.</w:t>
      </w:r>
    </w:p>
    <w:p w14:paraId="7070776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Основные мероприятия государственной программы предусматривают комплекс взаимосвязанных мер, направленных на достижение целей и задач государственной программы. Перечнем основных мероприятий государственной программы предусмотрено 9 мероприятий.</w:t>
      </w:r>
    </w:p>
    <w:p w14:paraId="0BCAD12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комплексу процессных мероприятий: «Обеспечение эффективной информационной политики и развитие государственных средств массовой информации» выполнены следующие пункты перечня мероприятий (результатов).</w:t>
      </w:r>
    </w:p>
    <w:p w14:paraId="5EC81C0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пункту 1.1 «Реализованы мероприятия, направленные на наращивание присутствия Курской области в информационном пространстве Российской Федерации, Центрального федерального округа, субъектов Российской Федерации»</w:t>
      </w:r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>- в официальном сообществе Правительства Курской области в социальной сети «ВКонтакте» было проведено 7 трансляций заседаний Правительства региона, организовано 6 прямых эфиров с заместителями Губернатора, руководителями профильных министерств. Кроме того, была организована трансляция двух всероссийских ярмарок вакансий «Работа России» и 8 брифингов по итогам выборов.</w:t>
      </w:r>
    </w:p>
    <w:p w14:paraId="7C84F0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содействии Министерства подготовлены интервью Губернатора Курской области для федеральных СМИ и Центрального Черноземья: «Россия 24», РБК, РИА «Новости», «ИТАР-ТАСС». </w:t>
      </w:r>
    </w:p>
    <w:p w14:paraId="10E380D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области регулярно проходят съемки федеральных телеканалов при содействии Министерства, в том числе телеканалов «Первый канал», «Россия 1», «ОТР», «НТВ», RT.</w:t>
      </w:r>
    </w:p>
    <w:p w14:paraId="677D8D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2024 году силами Министерства проводился мониторинг СМИ, было подготовлено 246 мониторингов. </w:t>
      </w:r>
    </w:p>
    <w:p w14:paraId="606BAEE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 2024 год Министерством, как региональный модератор автоматизированной информационной системы «Контента» (далее - система «Контента»), опубликовало более 3,5 тыс. инфоповодов, что на 869 больше, чем в 2023 году.</w:t>
      </w:r>
    </w:p>
    <w:p w14:paraId="32DC67E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Пункт 1.2 «Оказана поддержка социально значимых проектов в средствах массовой информации». В течение года благодаря организованной Министерством работе с органами власти и муниципалитетами Курская область стабильно входила в топ - 10 федерального рейтинга в Российской Федерации по информационному сопровождению реализации национальных проектов. По итогам года Курская область стала второй в стране по информационному сопровождению Года семьи. Неоднократно от АНО «Национальные приоритеты» в адрес Губернатора Курской области направлялись благодарственные письма по проведению данной работы. </w:t>
      </w:r>
    </w:p>
    <w:p w14:paraId="7B2E679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2024 году проводились очные совещания, обучения, тренинги, а также совещания в формате ВКС с ответственными сотрудниками региональных органов исполнительной власти и органов местного самоуправления, которые работают в системе «Контента». </w:t>
      </w:r>
    </w:p>
    <w:p w14:paraId="1F7FBFE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системе Контента подключены все государственные СМИ. Они используют материалы, размещённые в контент-центре, на своих ресурсах публикуют инфоповоды. </w:t>
      </w:r>
    </w:p>
    <w:p w14:paraId="5A3701ED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течение года на постоянной основе велась работа с отработкой комментариев в паблике Правительства «Курская область» в социальных сетях через систему «Инцидент-менеджмент», а также личных сообщений Губернатора в социальной сети «Вконтакте» (Министерство выступает в качестве модератора). С 6 августа 2024 года число таких обращений и острота вопросов выросли, данная работа ведется на постоянной основе. </w:t>
      </w:r>
    </w:p>
    <w:p w14:paraId="29075D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период проведения выборов Президента Российской Федерации Министерство оказывало помощь в проведении информационной кампании посредством изготовления макетов и размещения баннеров наружной рекламы о реализации национальных проектов.</w:t>
      </w:r>
    </w:p>
    <w:p w14:paraId="35B0811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Выполнение пункта 1.3 «Обеспечена деятельности (оказание услуг) государственных учреждений в сфере массовой информации» позволило обеспечить выпуск областных и районных государственных газет, собственное вещание областного обязательного общедоступного канала телевидения и врезки на федеральном телеканале «ОТР», а также областного радиоканала в составе ТРК «Сейм», осуществлять деятельность регионального информационного агентства «Курск».</w:t>
      </w:r>
    </w:p>
    <w:p w14:paraId="24A4BB6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рамках выполнения тематических задач государственными СМИ Курской области осуществлялось освещение тем нравственного, патриотического воспитания детей и молодежи, размещение материалов ко Дню Победы в Великой Отечественной войне и Курской битвы, пропаганда здорового образа жизни, физкультуры и спорта, семейных ценностей, принципов толерантности в межнациональных и межконфессиональных отношениях, интеграции инвалидов в общество, обеспечение безопасности граждан, противодействие коррупции, угрозе терроризма, распространению наркомании.</w:t>
      </w:r>
    </w:p>
    <w:p w14:paraId="7ED2E37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Мероприятие пункта 1.4 «Создана информационная инфраструктура, обеспечена доступность для населения информации, распространяемой через печатные и электронные средства массовой информации», позволило сохранить развитый государственный информационный ресурс, обеспечивающий доступность для населения актуальной информации.</w:t>
      </w:r>
      <w:r>
        <w:t xml:space="preserve"> </w:t>
      </w:r>
      <w:r>
        <w:rPr>
          <w:sz w:val="28"/>
          <w:szCs w:val="28"/>
        </w:rPr>
        <w:t>Министерством при непосредственном участии государственных СМИ Курской области была проделана работа по оперативному информированию населения региона об обеспечении безопасности жителей приграничной Курской области в условиях проведения СВО, мерах по восстановлению разрушений, связанных с действиями ВСУ, проведению частичной мобилизации, экономической и социальной поддержке мобилизованных граждан, добровольцев, военнослужащих, выполняющих задачи в зоне СВО, и их семей. Министерством были разработаны макеты буклетов и лифлетов о службе по контракту и действиях в условиях СВО, организована печать, доставка и распространение информационных материалов.</w:t>
      </w:r>
    </w:p>
    <w:p w14:paraId="0980F1F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содействии Министерства, в государственных СМИ региона во взаимодействии с Избирательной комиссией Курской области проводилось информирование населения об избирательных кампаниях в органы местного самоуправления. Для этих задач были задействованы все информационные ресурсы, которыми располагают подведомственные Министерству СМИ: газеты, радио, телевидение, сайты и социальные сети. </w:t>
      </w:r>
    </w:p>
    <w:p w14:paraId="1A1F2D6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пункту 1.5 «Обеспечены средства массовой информации достоверной информацией о социально-экономическом развитии Курской области, деятельности Губернатора Курской области, Правительства Курской области, исполнительных органов Курской области»</w:t>
      </w:r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>Министерством подготовлено и выпущено 140 информационных бюллетеней Администрации Курской области, которые рассылались по электронной почте в 500 федеральных и региональных СМИ. Материалы информационных бюллетеней также размещались на сайте Губернатора и Правительства Курской области.</w:t>
      </w:r>
    </w:p>
    <w:p w14:paraId="2E0D115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постоянной основе осуществлялось сопровождение представителями СМИ мероприятий с участием Губернатора Курской области, Правительства Курской области, руководителей исполнительных органов Курской области. </w:t>
      </w:r>
    </w:p>
    <w:p w14:paraId="2607BD1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2024 году руководители Курской области 107 раз выступили в прямых эфирах на местных телеканалах. По наиболее значимым вопросам было организовало 14 пресс-конференций. </w:t>
      </w:r>
    </w:p>
    <w:p w14:paraId="3CB2253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После введения режима КТО на территории Курской области Министерством был организован информационный центр оперативного штаба. Для оперативного информирования о событиях, происходящих на территории региона, в ежедневном режиме проводился брифинг для региональных и федеральных средств массовой информации, в нём принимали участие представители Министерства обороны РФ, МЧС РФ, регионального Правительства, Народного фронта, партии «Единая Россия». Всего был проведён 51 брифинг.</w:t>
      </w:r>
    </w:p>
    <w:p w14:paraId="57243D9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Была проведена широкая информационная кампания по Всероссийскому голосованию по выбору территории для благоустройства.</w:t>
      </w:r>
    </w:p>
    <w:p w14:paraId="6DF19B5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пункту 1.6 «Осуществлены меры, направленные на патриотическое воспитание граждан» в течение года широкую информационную работу Министерство проводило по привлечению на военную службу по контракту, добровольческий отряд «БАРС-Курск», в т.ч. по изготовлению макетов и размещению баннеров наружной рекламы, буклетов. </w:t>
      </w:r>
    </w:p>
    <w:p w14:paraId="4A13F19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комплексу процессных мероприятий «Обеспечение деятельности Министерства информации и общественных коммуникаций Курской области и мероприятий в сфере печати и массовой информации» выполнены следующие пункты перечня мероприятий (результатов).</w:t>
      </w:r>
    </w:p>
    <w:p w14:paraId="1A4126EA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>Выполнение пункта 1.1 «"Обеспечена деятельности и выполнение государственных функций Министерством информации и общественных коммуникаций Курской области» позволило осуществить деятельность Министерства как органа исполнительной власти в сфере печати и массовой информации и обеспечить выполнение целей, задач и показателей государственной программы.</w:t>
      </w:r>
    </w:p>
    <w:p w14:paraId="6E4C8F1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Выполнение пункта 1.2 «Проведена профессиональная подготовка и повышена квалификация государственных гражданских служащих Министерства информации и общественных коммуникаций Курской области в рамках плана развития государственной гражданской службы Курской области» способствовало повышению профессионального уровня 7 государственных служащих Министерства.</w:t>
      </w:r>
    </w:p>
    <w:p w14:paraId="4F6396D7">
      <w:pPr>
        <w:ind w:firstLine="709"/>
        <w:jc w:val="both"/>
        <w:rPr>
          <w:color w:val="DC3939"/>
          <w:sz w:val="28"/>
          <w:szCs w:val="28"/>
        </w:rPr>
      </w:pPr>
      <w:r>
        <w:rPr>
          <w:sz w:val="28"/>
          <w:szCs w:val="28"/>
        </w:rPr>
        <w:t>Выполнение пункта 2.1 «Присуждена премия Губернатора Курской области в сфере средств массовой информации и массовых коммуникаций» стимулировало региональные СМИ к объективному освещению социально-экономических преобразований и общественных процессов в Курской области, совершенствованию подходов при подготовке материалов о деятельности Губернатора и Правительства</w:t>
      </w:r>
      <w:r>
        <w:rPr>
          <w:color w:val="DC3939"/>
          <w:sz w:val="28"/>
          <w:szCs w:val="28"/>
        </w:rPr>
        <w:t xml:space="preserve"> </w:t>
      </w:r>
      <w:r>
        <w:rPr>
          <w:sz w:val="28"/>
          <w:szCs w:val="28"/>
        </w:rPr>
        <w:t>Курской области, творческому росту участников конкурса и увеличению заявок на участие в нем.</w:t>
      </w:r>
    </w:p>
    <w:p w14:paraId="398DBB1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2024 года на реализацию государственной программы в областном бюджете было предусмотрено 206 190,798 тыс. рублей, из них на реализацию комплексов процессных мероприятий: </w:t>
      </w:r>
    </w:p>
    <w:p w14:paraId="200E08F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«Обеспечение эффективной информационной политики и развитие государственных средств массовой информации» – 176 580,047 тыс. рублей;</w:t>
      </w:r>
    </w:p>
    <w:p w14:paraId="1C518B8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«Обеспечение деятельности Министерства информации и общественных коммуникаций Курской области и мероприятий в сфере печати и массовой информации» – 29610,751 тыс. рублей.</w:t>
      </w:r>
    </w:p>
    <w:p w14:paraId="60DF43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Кассовое исполнения бюджетных ассигнований областного бюджета, предусмотренных на реализацию государственной программы в 2024 году, выполнено в сумме 206 184,698 тыс. рублей. </w:t>
      </w:r>
    </w:p>
    <w:p w14:paraId="04DC190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Выполнены показатели государственных заданий на оказание государственных работы автономными учреждениями Курской области по государственной программе.</w:t>
      </w:r>
    </w:p>
    <w:p w14:paraId="6905BD3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Редакциями печатных СМИ осуществлялась работа по производству, выпуску и распространению областных и районных газет. В рамках выполнения государственного задания в 2024 году 28 редакций выпустили 1676 номеров газет, на эти цели из областного бюджета было выделено           75 064,186 тыс. рублей.</w:t>
      </w:r>
    </w:p>
    <w:p w14:paraId="6152D20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Автономным учреждением Курской области «ТРК «Сейм» осуществлялось изготовление и размещение собственного программного телевизионного продукта - 1725,4 час. /радиопродукта-47057,1 минут. Объем вещания, предусмотренного государственным заданием, выполнен в полном объеме. Расходы областного бюджета на данные цели составили 75064,186 тыс. рублей.</w:t>
      </w:r>
    </w:p>
    <w:p w14:paraId="0A57B1E7">
      <w:pPr>
        <w:ind w:firstLine="709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>Сетевым изданием «Региональное информационное агентство «Курск» размещено информационных материалов в объёме 10232 штук. Расходы областного бюджета на эти цели составили 18 119,965 тыс. рублей.</w:t>
      </w:r>
    </w:p>
    <w:p w14:paraId="747D153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Предложений о корректировке, досрочном прекращении реализации государственной программы «Реализация государственной политики в сфере печати и массовой информации в Курской области» и ее структурных элементов на плановый период нет.</w:t>
      </w:r>
    </w:p>
    <w:p w14:paraId="6D2F398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Постановлением Правительства Курской области от 28.02.2024            № 150-пп в государственную программу Курской области «Реализация государственной политики в сфере печати и массовой информации в Курской области»</w:t>
      </w:r>
      <w:r>
        <w:t xml:space="preserve"> </w:t>
      </w:r>
      <w:r>
        <w:rPr>
          <w:sz w:val="28"/>
          <w:szCs w:val="28"/>
        </w:rPr>
        <w:t>внесены изменения во исполнение постановления Правительства Курской области от 27.07.2023 № 831-пп «О системе управления государственными программами Курской области» с целью перехода государственных программ Курской области на новую систему управления с 2024 года.</w:t>
      </w:r>
    </w:p>
    <w:p w14:paraId="536C6A2B">
      <w:pPr>
        <w:tabs>
          <w:tab w:val="left" w:pos="2325"/>
        </w:tabs>
        <w:ind w:firstLine="709"/>
        <w:jc w:val="both"/>
        <w:rPr>
          <w:color w:val="FF0000"/>
          <w:sz w:val="28"/>
          <w:szCs w:val="28"/>
        </w:rPr>
      </w:pPr>
      <w:r>
        <w:rPr>
          <w:color w:val="000000"/>
          <w:sz w:val="28"/>
          <w:szCs w:val="28"/>
        </w:rPr>
        <w:t xml:space="preserve">Постановлением Правительства Курской области от 14.02.2025             № 106-пп «Об утверждении Порядка проведения оценки эффективности реализации государственных программ Курской области» утвержден  порядок проведения оценки эффективности реализации государственных программ Курской области и методика оценки эффективности государственных программ Курской области. На основании данного постановления проведена оценка эффективности государственной программы Курской области </w:t>
      </w:r>
      <w:r>
        <w:rPr>
          <w:sz w:val="28"/>
          <w:szCs w:val="28"/>
        </w:rPr>
        <w:t>«Реализация государственной политики в сфере печати и массовой информации в Курской области»</w:t>
      </w:r>
      <w:r>
        <w:rPr>
          <w:color w:val="FF0000"/>
          <w:sz w:val="28"/>
          <w:szCs w:val="28"/>
        </w:rPr>
        <w:t xml:space="preserve">. </w:t>
      </w:r>
    </w:p>
    <w:p w14:paraId="117D58AC">
      <w:pPr>
        <w:numPr>
          <w:ilvl w:val="0"/>
          <w:numId w:val="1"/>
        </w:numPr>
        <w:tabs>
          <w:tab w:val="left" w:pos="1276"/>
        </w:tabs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Оценка эффективности государственной программы за 2024 год произведена с учётом следующих составляющих:</w:t>
      </w:r>
    </w:p>
    <w:p w14:paraId="5B6505BE">
      <w:pPr>
        <w:numPr>
          <w:ilvl w:val="1"/>
          <w:numId w:val="1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оценки уровня достижения показателей и мероприятий (результатов) комплексов процессных мероприятий государственной программы (Таблица №1);</w:t>
      </w:r>
    </w:p>
    <w:p w14:paraId="47E86B47">
      <w:pPr>
        <w:numPr>
          <w:ilvl w:val="1"/>
          <w:numId w:val="1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оценки уровня соответствия фактических затрат из областного бюджета (с учетом межбюджетных трансфертов из федерального бюджета) запланированному уровню затрат (Таблица №2);</w:t>
      </w:r>
    </w:p>
    <w:p w14:paraId="5F90738A">
      <w:pPr>
        <w:numPr>
          <w:ilvl w:val="1"/>
          <w:numId w:val="1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оценки уровня эффективности использования средств областного бюджета (с учетом межбюджетных трансфертов из федерального бюджета) (Таблица №3).</w:t>
      </w:r>
    </w:p>
    <w:p w14:paraId="60D5DC26">
      <w:pPr>
        <w:numPr>
          <w:ilvl w:val="1"/>
          <w:numId w:val="1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оценка уровня достижения показателей государственной программы (Таблица №4).</w:t>
      </w:r>
    </w:p>
    <w:p w14:paraId="4DB1EFCF">
      <w:pPr>
        <w:numPr>
          <w:ilvl w:val="0"/>
          <w:numId w:val="1"/>
        </w:numPr>
        <w:tabs>
          <w:tab w:val="left" w:pos="0"/>
        </w:tabs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Оценка эффективности реализации государственной программы осуществлена:</w:t>
      </w:r>
    </w:p>
    <w:p w14:paraId="4215F1F5">
      <w:pPr>
        <w:numPr>
          <w:ilvl w:val="1"/>
          <w:numId w:val="1"/>
        </w:numPr>
        <w:tabs>
          <w:tab w:val="left" w:pos="709"/>
        </w:tabs>
        <w:ind w:left="0" w:firstLine="709"/>
        <w:jc w:val="both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Уровень достижения планового значения показателя государственной программы</w:t>
      </w:r>
      <w:r>
        <w:rPr>
          <w:color w:val="000000"/>
          <w:sz w:val="28"/>
          <w:szCs w:val="28"/>
        </w:rPr>
        <w:t xml:space="preserve"> (Таблица №5).</w:t>
      </w:r>
    </w:p>
    <w:p w14:paraId="25F2DC79">
      <w:pPr>
        <w:numPr>
          <w:ilvl w:val="1"/>
          <w:numId w:val="1"/>
        </w:numPr>
        <w:tabs>
          <w:tab w:val="left" w:pos="709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втором этапе осуществлена оценка эффективности реализации государственной программы, которая определена с учётом уровня достижения показателей государственной программы и уровней достижения реализации процессной части государственной программы.</w:t>
      </w:r>
    </w:p>
    <w:p w14:paraId="74E56BB8">
      <w:pPr>
        <w:jc w:val="both"/>
        <w:rPr>
          <w:color w:val="000000"/>
          <w:sz w:val="28"/>
          <w:szCs w:val="28"/>
        </w:rPr>
      </w:pPr>
    </w:p>
    <w:p w14:paraId="73129BFB">
      <w:pPr>
        <w:jc w:val="both"/>
        <w:rPr>
          <w:color w:val="000000"/>
          <w:sz w:val="28"/>
          <w:szCs w:val="28"/>
        </w:rPr>
      </w:pPr>
    </w:p>
    <w:p w14:paraId="69C80788">
      <w:pPr>
        <w:numPr>
          <w:ilvl w:val="0"/>
          <w:numId w:val="2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Оценка эффективности реализации процессной государственной программы Курской области "Реализация государственной политики в сфере печати и массовой информации в Курской области".</w:t>
      </w:r>
    </w:p>
    <w:p w14:paraId="350ABDD2">
      <w:pPr>
        <w:jc w:val="both"/>
        <w:rPr>
          <w:color w:val="000000"/>
          <w:sz w:val="28"/>
          <w:szCs w:val="28"/>
        </w:rPr>
      </w:pPr>
    </w:p>
    <w:p w14:paraId="78E1054B">
      <w:pPr>
        <w:ind w:firstLine="705"/>
        <w:jc w:val="right"/>
        <w:rPr>
          <w:b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b/>
          <w:sz w:val="28"/>
          <w:szCs w:val="28"/>
        </w:rPr>
        <w:t>Таблица №  1</w:t>
      </w:r>
    </w:p>
    <w:p w14:paraId="6405306E">
      <w:pPr>
        <w:ind w:firstLine="705"/>
        <w:jc w:val="right"/>
        <w:rPr>
          <w:b/>
          <w:i/>
        </w:rPr>
      </w:pPr>
    </w:p>
    <w:p w14:paraId="6E0234F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Оценка уровня достижения реализации мероприятий (результатов) комплекса процессных мероприятий</w:t>
      </w:r>
    </w:p>
    <w:p w14:paraId="4D0EB46A">
      <w:pPr>
        <w:ind w:firstLine="705"/>
        <w:jc w:val="center"/>
        <w:rPr>
          <w:b/>
          <w:i/>
        </w:rPr>
      </w:pPr>
    </w:p>
    <w:p w14:paraId="6E1DBBA0">
      <w:pPr>
        <w:ind w:firstLine="705"/>
        <w:jc w:val="center"/>
        <w:rPr>
          <w:b/>
          <w:i/>
          <w:sz w:val="12"/>
        </w:rPr>
      </w:pPr>
    </w:p>
    <w:tbl>
      <w:tblPr>
        <w:tblStyle w:val="3"/>
        <w:tblW w:w="9327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97"/>
        <w:gridCol w:w="1215"/>
        <w:gridCol w:w="1220"/>
        <w:gridCol w:w="1135"/>
        <w:gridCol w:w="1220"/>
        <w:gridCol w:w="1120"/>
        <w:gridCol w:w="1220"/>
      </w:tblGrid>
      <w:tr w14:paraId="0C9221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21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69A09FC">
            <w:pPr>
              <w:widowControl w:val="0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Наименование комплекса процессных мероприятий</w:t>
            </w:r>
          </w:p>
        </w:tc>
        <w:tc>
          <w:tcPr>
            <w:tcW w:w="24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E8E9637">
            <w:pPr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Количество выполненных не менее чем на 95 процентов мероприятий (результатов) комплекса процессных мероприятий, запланированных на отчетный год (Мв)</w:t>
            </w:r>
          </w:p>
        </w:tc>
        <w:tc>
          <w:tcPr>
            <w:tcW w:w="23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87A249A">
            <w:pPr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Общее количество мероприятий (результатов), запланированных на отчетный год</w:t>
            </w:r>
          </w:p>
          <w:p w14:paraId="12D3A44A">
            <w:pPr>
              <w:ind w:right="-104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(М)</w:t>
            </w:r>
          </w:p>
        </w:tc>
        <w:tc>
          <w:tcPr>
            <w:tcW w:w="23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9AF018E">
            <w:pPr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уровень достижения реализации мероприятий (результатов) комплекса процессных мероприятий</w:t>
            </w:r>
          </w:p>
          <w:p w14:paraId="0C9BE7B8">
            <w:pPr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(УДмкпм)</w:t>
            </w:r>
          </w:p>
        </w:tc>
      </w:tr>
      <w:tr w14:paraId="2FA5B8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21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7EE6702">
            <w:pPr>
              <w:rPr>
                <w:color w:val="000000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FE7AD30">
            <w:pPr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всего мероприятий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4375126">
            <w:pPr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в том числе полностью или частично финансируемых из областного бюджета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F8CF5B7">
            <w:pPr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всего мероприятий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6A6254C">
            <w:pPr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в том числе полностью или частично финансируемых из областного бюджета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42C4694">
            <w:pPr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всего мероприятий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49389BB">
            <w:pPr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в том числе полностью или частично финансируемых из областного бюджета</w:t>
            </w:r>
          </w:p>
        </w:tc>
      </w:tr>
      <w:tr w14:paraId="21FC16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2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53B3491">
            <w:pPr>
              <w:widowControl w:val="0"/>
              <w:ind w:right="-81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«Обеспечение эффективной информационной политики и развитие государственных средств массовой информации»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B0065D2">
            <w:pPr>
              <w:jc w:val="center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sz w:val="22"/>
                <w:lang w:val="en-US"/>
              </w:rPr>
              <w:t>6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50BC8DD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6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17728F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86B7C5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883A9BC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D6082AE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</w:t>
            </w:r>
          </w:p>
        </w:tc>
      </w:tr>
      <w:tr w14:paraId="2B84FB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2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07E9CFD">
            <w:pPr>
              <w:widowControl w:val="0"/>
              <w:ind w:right="-81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«Обеспечение деятельности Министерства информации и общественных коммуникаций Курской области и мероприятий в сфере печати и мас-совой информации»»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B5AB7D3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3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DE9299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1A93E7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77C7A3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BC67273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DB016B2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</w:t>
            </w:r>
          </w:p>
        </w:tc>
      </w:tr>
    </w:tbl>
    <w:p w14:paraId="5EA0BB4D">
      <w:pPr>
        <w:ind w:firstLine="705"/>
        <w:jc w:val="both"/>
        <w:rPr>
          <w:sz w:val="28"/>
          <w:szCs w:val="28"/>
        </w:rPr>
      </w:pPr>
    </w:p>
    <w:p w14:paraId="7349669A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Оценка уровня достижения реализации мероприятий (результатов) комплекса процессных мероприятий определяется по формуле:</w:t>
      </w:r>
    </w:p>
    <w:p w14:paraId="3126B7C5">
      <w:pPr>
        <w:ind w:left="705"/>
        <w:jc w:val="both"/>
        <w:rPr>
          <w:sz w:val="28"/>
          <w:szCs w:val="28"/>
        </w:rPr>
      </w:pPr>
    </w:p>
    <w:p w14:paraId="07EF2507">
      <w:pPr>
        <w:ind w:left="705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УДмкпм = Мв/М</w:t>
      </w:r>
    </w:p>
    <w:p w14:paraId="76C6DF63">
      <w:pPr>
        <w:ind w:left="705"/>
        <w:jc w:val="both"/>
        <w:rPr>
          <w:b/>
          <w:sz w:val="28"/>
          <w:szCs w:val="28"/>
        </w:rPr>
      </w:pPr>
    </w:p>
    <w:p w14:paraId="010352BF">
      <w:pPr>
        <w:ind w:left="705"/>
        <w:jc w:val="both"/>
        <w:rPr>
          <w:sz w:val="28"/>
          <w:szCs w:val="28"/>
        </w:rPr>
      </w:pPr>
      <w:r>
        <w:rPr>
          <w:sz w:val="28"/>
          <w:szCs w:val="28"/>
        </w:rPr>
        <w:t>где:</w:t>
      </w:r>
    </w:p>
    <w:p w14:paraId="1C5CC5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УДмкпм - уровень достижения реализации мероприятий (результатов) комплекса процессных мероприятий;</w:t>
      </w:r>
    </w:p>
    <w:p w14:paraId="689DA2FE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Мв - количество выполненных не менее чем на 95 процентов мероприятий (результатов) комплекса процессных мероприятий, запланированных на отчетный год;</w:t>
      </w:r>
    </w:p>
    <w:p w14:paraId="245CD5CE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М - общее количество мероприятий (результатов) комплекса процессных мероприятий, запланированных на отчетный год.</w:t>
      </w:r>
    </w:p>
    <w:p w14:paraId="41D26B14">
      <w:pPr>
        <w:ind w:firstLine="705"/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7C4500A">
      <w:pPr>
        <w:ind w:firstLine="705"/>
        <w:jc w:val="right"/>
      </w:pPr>
    </w:p>
    <w:p w14:paraId="39CDA210">
      <w:pPr>
        <w:ind w:firstLine="705"/>
        <w:jc w:val="right"/>
      </w:pPr>
    </w:p>
    <w:p w14:paraId="687DEC94">
      <w:pPr>
        <w:ind w:firstLine="705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Таблица № 2</w:t>
      </w:r>
    </w:p>
    <w:p w14:paraId="436ADFC3">
      <w:pPr>
        <w:ind w:firstLine="705"/>
        <w:jc w:val="right"/>
        <w:rPr>
          <w:b/>
          <w:sz w:val="28"/>
          <w:szCs w:val="28"/>
        </w:rPr>
      </w:pPr>
    </w:p>
    <w:p w14:paraId="0FE24347">
      <w:pPr>
        <w:ind w:firstLine="70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Оценка уровня соответствия фактических затрат из областного бюджета (с учетом межбюджетных трансфертов из федерального бюджета) запланированному уровню затрат</w:t>
      </w:r>
    </w:p>
    <w:p w14:paraId="545C0DCB">
      <w:pPr>
        <w:ind w:firstLine="705"/>
        <w:jc w:val="center"/>
      </w:pPr>
    </w:p>
    <w:p w14:paraId="109AC198">
      <w:pPr>
        <w:ind w:firstLine="705"/>
        <w:jc w:val="center"/>
      </w:pPr>
    </w:p>
    <w:tbl>
      <w:tblPr>
        <w:tblStyle w:val="3"/>
        <w:tblW w:w="9352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82"/>
        <w:gridCol w:w="1371"/>
        <w:gridCol w:w="1316"/>
        <w:gridCol w:w="1783"/>
      </w:tblGrid>
      <w:tr w14:paraId="376FF0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48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F0DB3AD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Наименование комплекса процессных мероприятий</w:t>
            </w:r>
          </w:p>
        </w:tc>
        <w:tc>
          <w:tcPr>
            <w:tcW w:w="26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F16B8E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Затраты (тыс. руб.)</w:t>
            </w:r>
          </w:p>
        </w:tc>
        <w:tc>
          <w:tcPr>
            <w:tcW w:w="178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68E21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Уровень соответствия фактических затрат запланированному уровню затрат</w:t>
            </w:r>
          </w:p>
          <w:p w14:paraId="6F79E02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(УСзкпм)  </w:t>
            </w:r>
          </w:p>
        </w:tc>
      </w:tr>
      <w:tr w14:paraId="1F2AFA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397" w:hRule="atLeast"/>
        </w:trPr>
        <w:tc>
          <w:tcPr>
            <w:tcW w:w="48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4C607B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71D0B5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план</w:t>
            </w:r>
          </w:p>
          <w:p w14:paraId="387A22D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на 31.12.2024 </w:t>
            </w:r>
          </w:p>
          <w:p w14:paraId="37E6A5C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(Зфкпм)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2A0BFC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факт </w:t>
            </w:r>
          </w:p>
          <w:p w14:paraId="6DD2A82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 31.12.2024</w:t>
            </w:r>
          </w:p>
          <w:p w14:paraId="7E1E4B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(Зпкпм)</w:t>
            </w:r>
          </w:p>
        </w:tc>
        <w:tc>
          <w:tcPr>
            <w:tcW w:w="17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33910A4">
            <w:pPr>
              <w:rPr>
                <w:color w:val="000000"/>
                <w:sz w:val="20"/>
                <w:szCs w:val="20"/>
              </w:rPr>
            </w:pPr>
          </w:p>
        </w:tc>
      </w:tr>
      <w:tr w14:paraId="700010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4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CA235F9">
            <w:pPr>
              <w:widowControl w:val="0"/>
              <w:ind w:right="-81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«Обеспечение эффективной информационной политики и развитие государственных средств массовой информации»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AABCC3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176 580,047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D1B640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176 580,047</w:t>
            </w:r>
          </w:p>
        </w:tc>
        <w:tc>
          <w:tcPr>
            <w:tcW w:w="1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A0FAD4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</w:t>
            </w:r>
          </w:p>
        </w:tc>
      </w:tr>
      <w:tr w14:paraId="6F7D3B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4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34FEA75">
            <w:pPr>
              <w:widowControl w:val="0"/>
              <w:ind w:right="-81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«Обеспечение деятельности Министерства информации и общественных коммуникаций Курской области и мероприятий в сфере печати и массовой информации»»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AF889B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29 610,751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364025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29 606,651</w:t>
            </w:r>
          </w:p>
        </w:tc>
        <w:tc>
          <w:tcPr>
            <w:tcW w:w="1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006A03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</w:t>
            </w:r>
          </w:p>
        </w:tc>
      </w:tr>
    </w:tbl>
    <w:p w14:paraId="5AE3ADBB">
      <w:pPr>
        <w:ind w:firstLine="709"/>
        <w:jc w:val="both"/>
        <w:rPr>
          <w:sz w:val="28"/>
          <w:szCs w:val="28"/>
        </w:rPr>
      </w:pPr>
    </w:p>
    <w:p w14:paraId="1A329066">
      <w:pPr>
        <w:ind w:firstLine="709"/>
        <w:jc w:val="both"/>
        <w:rPr>
          <w:sz w:val="28"/>
          <w:szCs w:val="28"/>
        </w:rPr>
      </w:pPr>
    </w:p>
    <w:p w14:paraId="7DB4FAC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Оценка уровня соответствия фактических затрат из областного бюджета (с учетом межбюджетных трансфертов из федерального бюджета) запланированному уровню затрат определяется по формуле:</w:t>
      </w:r>
    </w:p>
    <w:p w14:paraId="4E790894">
      <w:pPr>
        <w:ind w:firstLine="709"/>
        <w:jc w:val="both"/>
        <w:rPr>
          <w:sz w:val="28"/>
          <w:szCs w:val="28"/>
        </w:rPr>
      </w:pPr>
    </w:p>
    <w:p w14:paraId="33A47745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>УСзкпм = Зфкпм/Зпкпм</w:t>
      </w:r>
    </w:p>
    <w:p w14:paraId="23561CF2">
      <w:pPr>
        <w:jc w:val="both"/>
        <w:rPr>
          <w:sz w:val="28"/>
          <w:szCs w:val="28"/>
        </w:rPr>
      </w:pPr>
    </w:p>
    <w:p w14:paraId="15F55DED">
      <w:pPr>
        <w:ind w:left="705"/>
        <w:jc w:val="both"/>
        <w:rPr>
          <w:sz w:val="28"/>
          <w:szCs w:val="28"/>
        </w:rPr>
      </w:pPr>
      <w:r>
        <w:rPr>
          <w:sz w:val="28"/>
          <w:szCs w:val="28"/>
        </w:rPr>
        <w:t>где:</w:t>
      </w:r>
    </w:p>
    <w:p w14:paraId="05546C4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УСзкпм – уровень соответствия фактических затрат из областного бюджета (с учетом межбюджетных трансфертов из федерального бюджета) запланированному уровню затрат на реализацию комплекса процессных мероприятий;</w:t>
      </w:r>
    </w:p>
    <w:p w14:paraId="585C5017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Зфкпм - фактические расходы областного бюджета (с учетом межбюджетных трансфертов из федерального бюджета) на реализацию комплекса процессных мероприятий в отчетном году (по состоянию на 31 декабря отчетного года); </w:t>
      </w:r>
    </w:p>
    <w:p w14:paraId="027E50D0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Зпкпм - плановые расходы областного бюджета (с учетом межбюджетных трансфертов из федерального бюджета) на реализацию комплекса процессных мероприятий в отчетном году (по состоянию на 31 декабря отчетного года).</w:t>
      </w:r>
    </w:p>
    <w:p w14:paraId="6DB78F65">
      <w:pPr>
        <w:ind w:firstLine="705"/>
      </w:pPr>
    </w:p>
    <w:p w14:paraId="2CCB717C">
      <w:pPr>
        <w:ind w:firstLine="705"/>
      </w:pPr>
    </w:p>
    <w:p w14:paraId="224241AB">
      <w:pPr>
        <w:ind w:firstLine="705"/>
      </w:pPr>
    </w:p>
    <w:p w14:paraId="3DB2C4BF">
      <w:pPr>
        <w:ind w:firstLine="705"/>
      </w:pPr>
    </w:p>
    <w:p w14:paraId="7A720042">
      <w:pPr>
        <w:ind w:firstLine="705"/>
      </w:pPr>
    </w:p>
    <w:p w14:paraId="3D2BEE7E">
      <w:pPr>
        <w:ind w:firstLine="705"/>
      </w:pPr>
    </w:p>
    <w:p w14:paraId="3928FB87">
      <w:pPr>
        <w:ind w:firstLine="705"/>
      </w:pPr>
    </w:p>
    <w:p w14:paraId="704F2515">
      <w:pPr>
        <w:ind w:firstLine="705"/>
      </w:pPr>
    </w:p>
    <w:p w14:paraId="718EC448">
      <w:pPr>
        <w:jc w:val="right"/>
        <w:rPr>
          <w:b/>
          <w:sz w:val="28"/>
          <w:szCs w:val="2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b/>
          <w:sz w:val="28"/>
          <w:szCs w:val="28"/>
        </w:rPr>
        <w:t>Таблица № 3</w:t>
      </w:r>
    </w:p>
    <w:p w14:paraId="61DDAA9D">
      <w:pPr>
        <w:jc w:val="right"/>
        <w:rPr>
          <w:b/>
        </w:rPr>
      </w:pPr>
    </w:p>
    <w:p w14:paraId="270BB8D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Оценка эффективности использования средств областного бюджета </w:t>
      </w:r>
    </w:p>
    <w:p w14:paraId="7845339B">
      <w:pPr>
        <w:jc w:val="center"/>
        <w:rPr>
          <w:b/>
        </w:rPr>
      </w:pPr>
    </w:p>
    <w:tbl>
      <w:tblPr>
        <w:tblStyle w:val="3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94"/>
        <w:gridCol w:w="2295"/>
        <w:gridCol w:w="1498"/>
        <w:gridCol w:w="1637"/>
      </w:tblGrid>
      <w:tr w14:paraId="526481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3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3C7FE71">
            <w:pPr>
              <w:widowControl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Наименование комплекса процессных мероприятий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151E860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Уровень достижения реализации мероприятий (результатов) комплекса процессных мероприятий </w:t>
            </w:r>
          </w:p>
          <w:p w14:paraId="68ECEEE5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(УДмкпм)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25A108E">
            <w:pPr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Уровень соответствия фактических затрат запланированному уровню затрат</w:t>
            </w:r>
          </w:p>
          <w:p w14:paraId="06B17650">
            <w:pPr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(</w:t>
            </w:r>
            <w:r>
              <w:rPr>
                <w:color w:val="000000"/>
                <w:sz w:val="20"/>
              </w:rPr>
              <w:t>УСзкпм</w:t>
            </w:r>
            <w:r>
              <w:rPr>
                <w:color w:val="000000"/>
                <w:sz w:val="16"/>
              </w:rPr>
              <w:t xml:space="preserve">)  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2456230">
            <w:pP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 xml:space="preserve"> </w:t>
            </w:r>
            <w:r>
              <w:rPr>
                <w:color w:val="000000"/>
                <w:sz w:val="20"/>
              </w:rPr>
              <w:t>Эффективность использования средств областного бюджета</w:t>
            </w:r>
            <w:r>
              <w:rPr>
                <w:color w:val="000000"/>
                <w:sz w:val="18"/>
              </w:rPr>
              <w:t xml:space="preserve">  </w:t>
            </w:r>
          </w:p>
          <w:p w14:paraId="715C9513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(Эискпм)</w:t>
            </w:r>
          </w:p>
        </w:tc>
      </w:tr>
      <w:tr w14:paraId="1FE4E5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3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4ACAC81">
            <w:pPr>
              <w:widowControl w:val="0"/>
              <w:ind w:right="-81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«Обеспечение эффективной информационной политики и развитие государственных средств массовой информации»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864C619">
            <w:pPr>
              <w:jc w:val="center"/>
              <w:rPr>
                <w:color w:val="000000"/>
                <w:sz w:val="22"/>
              </w:rPr>
            </w:pPr>
          </w:p>
          <w:p w14:paraId="00781789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1,0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B7F8E75">
            <w:pPr>
              <w:jc w:val="center"/>
              <w:rPr>
                <w:color w:val="000000"/>
                <w:sz w:val="22"/>
              </w:rPr>
            </w:pPr>
          </w:p>
          <w:p w14:paraId="1FC78FDC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1,0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C64D844">
            <w:pPr>
              <w:jc w:val="center"/>
              <w:rPr>
                <w:color w:val="000000"/>
                <w:sz w:val="22"/>
              </w:rPr>
            </w:pPr>
          </w:p>
          <w:p w14:paraId="70611149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1,0</w:t>
            </w:r>
          </w:p>
        </w:tc>
      </w:tr>
      <w:tr w14:paraId="7E86BB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3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FBB8EE2">
            <w:pPr>
              <w:widowControl w:val="0"/>
              <w:ind w:right="-81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«Обеспечение деятельности Министерства информации и общественных коммуникаций Курской области и мероприятий в сфере печати и мас-совой информации»»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40FDF9C">
            <w:pPr>
              <w:jc w:val="center"/>
              <w:rPr>
                <w:color w:val="000000"/>
                <w:sz w:val="22"/>
              </w:rPr>
            </w:pPr>
          </w:p>
          <w:p w14:paraId="69840B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1,0</w:t>
            </w:r>
          </w:p>
        </w:tc>
        <w:tc>
          <w:tcPr>
            <w:tcW w:w="1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6D8BDDE">
            <w:pPr>
              <w:jc w:val="center"/>
              <w:rPr>
                <w:color w:val="000000"/>
                <w:sz w:val="22"/>
              </w:rPr>
            </w:pPr>
          </w:p>
          <w:p w14:paraId="0C3F4F60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1,0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33CAE36">
            <w:pPr>
              <w:jc w:val="center"/>
              <w:rPr>
                <w:color w:val="000000"/>
                <w:sz w:val="22"/>
              </w:rPr>
            </w:pPr>
          </w:p>
          <w:p w14:paraId="1239B897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1,0</w:t>
            </w:r>
          </w:p>
        </w:tc>
      </w:tr>
    </w:tbl>
    <w:p w14:paraId="2901FFD3">
      <w:pPr>
        <w:ind w:firstLine="705"/>
        <w:rPr>
          <w:sz w:val="28"/>
          <w:szCs w:val="28"/>
        </w:rPr>
      </w:pPr>
    </w:p>
    <w:p w14:paraId="2CF712D7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Оценка эффективности использования средств областного бюджета (с учетом межбюджетных трансфертов из федерального бюджета) рассчитана  по следующей формуле:</w:t>
      </w:r>
    </w:p>
    <w:p w14:paraId="248B18BA">
      <w:pPr>
        <w:ind w:firstLine="705"/>
        <w:jc w:val="both"/>
        <w:rPr>
          <w:sz w:val="28"/>
          <w:szCs w:val="28"/>
        </w:rPr>
      </w:pPr>
    </w:p>
    <w:p w14:paraId="6F2D2C5C">
      <w:pPr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>Эискпм = УДмкпм/УСзкпм,</w:t>
      </w:r>
    </w:p>
    <w:p w14:paraId="7FE954E3">
      <w:pPr>
        <w:jc w:val="both"/>
        <w:rPr>
          <w:sz w:val="28"/>
          <w:szCs w:val="28"/>
        </w:rPr>
      </w:pPr>
    </w:p>
    <w:p w14:paraId="5BE87A8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>где:</w:t>
      </w:r>
    </w:p>
    <w:p w14:paraId="0D55413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>Эискпм - эффективность использования средств областного бюджета;</w:t>
      </w:r>
    </w:p>
    <w:p w14:paraId="5F26DC3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>УДмкпм - уровень достижения реализации мероприятий (результатов) комплекса процессных мероприятий;</w:t>
      </w:r>
    </w:p>
    <w:p w14:paraId="058A17B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>УСзкпм – уровень соответствия фактических затрат из областного бюджета (с учетом межбюджетных трансфертов из федерального бюджета) запланированному уровню затрат на реализацию комплекса процессных мероприятий.</w:t>
      </w:r>
    </w:p>
    <w:p w14:paraId="651D4711">
      <w:pPr>
        <w:rPr>
          <w:color w:val="FB290D"/>
          <w:sz w:val="28"/>
          <w:szCs w:val="28"/>
        </w:rPr>
      </w:pPr>
    </w:p>
    <w:p w14:paraId="21943B7D">
      <w:pPr>
        <w:rPr>
          <w:color w:val="FB290D"/>
          <w:sz w:val="28"/>
          <w:szCs w:val="28"/>
        </w:rPr>
      </w:pPr>
    </w:p>
    <w:p w14:paraId="7FC1C44E">
      <w:pPr>
        <w:rPr>
          <w:color w:val="FB290D"/>
          <w:sz w:val="28"/>
          <w:szCs w:val="28"/>
        </w:rPr>
      </w:pPr>
    </w:p>
    <w:p w14:paraId="5A36B727">
      <w:pPr>
        <w:rPr>
          <w:color w:val="FB290D"/>
          <w:sz w:val="28"/>
          <w:szCs w:val="28"/>
        </w:rPr>
      </w:pPr>
    </w:p>
    <w:p w14:paraId="11CD0492">
      <w:pPr>
        <w:rPr>
          <w:color w:val="FB290D"/>
          <w:sz w:val="28"/>
          <w:szCs w:val="28"/>
        </w:rPr>
      </w:pPr>
    </w:p>
    <w:p w14:paraId="705DC24E">
      <w:pPr>
        <w:rPr>
          <w:color w:val="FB290D"/>
          <w:sz w:val="28"/>
          <w:szCs w:val="28"/>
        </w:rPr>
      </w:pPr>
    </w:p>
    <w:p w14:paraId="2D20BAD6">
      <w:pPr>
        <w:rPr>
          <w:color w:val="FB290D"/>
          <w:sz w:val="28"/>
          <w:szCs w:val="28"/>
        </w:rPr>
      </w:pPr>
    </w:p>
    <w:p w14:paraId="60F5A9BE">
      <w:pPr>
        <w:rPr>
          <w:color w:val="FB290D"/>
          <w:sz w:val="28"/>
          <w:szCs w:val="28"/>
        </w:rPr>
      </w:pPr>
    </w:p>
    <w:p w14:paraId="4B3E8506">
      <w:pPr>
        <w:rPr>
          <w:color w:val="FB290D"/>
          <w:sz w:val="28"/>
          <w:szCs w:val="28"/>
        </w:rPr>
      </w:pPr>
    </w:p>
    <w:p w14:paraId="16135941">
      <w:pPr>
        <w:rPr>
          <w:color w:val="FB290D"/>
          <w:sz w:val="28"/>
          <w:szCs w:val="28"/>
        </w:rPr>
      </w:pPr>
    </w:p>
    <w:p w14:paraId="324B4690">
      <w:pPr>
        <w:rPr>
          <w:color w:val="FB290D"/>
          <w:sz w:val="28"/>
          <w:szCs w:val="28"/>
        </w:rPr>
      </w:pPr>
    </w:p>
    <w:p w14:paraId="3F64E974">
      <w:pPr>
        <w:rPr>
          <w:color w:val="FB290D"/>
          <w:sz w:val="28"/>
          <w:szCs w:val="28"/>
        </w:rPr>
      </w:pPr>
    </w:p>
    <w:p w14:paraId="6C61278E">
      <w:r>
        <w:tab/>
      </w:r>
    </w:p>
    <w:p w14:paraId="3E45FA1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Уровень достижения планового значения показателя комплекса процессных мероприятий</w:t>
      </w:r>
    </w:p>
    <w:p w14:paraId="366C945E">
      <w:pPr>
        <w:jc w:val="center"/>
        <w:rPr>
          <w:color w:val="FB290D"/>
          <w:sz w:val="28"/>
          <w:szCs w:val="28"/>
        </w:rPr>
      </w:pPr>
    </w:p>
    <w:p w14:paraId="541C5057">
      <w:pPr>
        <w:jc w:val="righ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                                                                                              Таблица № 4</w:t>
      </w:r>
    </w:p>
    <w:p w14:paraId="5AC640DF">
      <w:pPr>
        <w:ind w:firstLine="708"/>
        <w:rPr>
          <w:b/>
        </w:rPr>
      </w:pPr>
    </w:p>
    <w:tbl>
      <w:tblPr>
        <w:tblStyle w:val="3"/>
        <w:tblW w:w="9606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5"/>
        <w:gridCol w:w="4321"/>
        <w:gridCol w:w="1206"/>
        <w:gridCol w:w="1088"/>
        <w:gridCol w:w="992"/>
        <w:gridCol w:w="200"/>
        <w:gridCol w:w="1334"/>
      </w:tblGrid>
      <w:tr w14:paraId="48C643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465" w:type="dxa"/>
            <w:vMerge w:val="restart"/>
            <w:noWrap w:val="0"/>
            <w:vAlign w:val="top"/>
          </w:tcPr>
          <w:p w14:paraId="09E0B709">
            <w:pPr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4321" w:type="dxa"/>
            <w:vMerge w:val="restart"/>
            <w:noWrap w:val="0"/>
            <w:vAlign w:val="top"/>
          </w:tcPr>
          <w:p w14:paraId="2FF43E8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Показатель </w:t>
            </w:r>
          </w:p>
          <w:p w14:paraId="49827EB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комплекса процессных мероприятий</w:t>
            </w:r>
          </w:p>
        </w:tc>
        <w:tc>
          <w:tcPr>
            <w:tcW w:w="1206" w:type="dxa"/>
            <w:vMerge w:val="restart"/>
            <w:noWrap w:val="0"/>
            <w:vAlign w:val="top"/>
          </w:tcPr>
          <w:p w14:paraId="51CBDC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Ед. изме-рения</w:t>
            </w:r>
          </w:p>
        </w:tc>
        <w:tc>
          <w:tcPr>
            <w:tcW w:w="2080" w:type="dxa"/>
            <w:gridSpan w:val="2"/>
            <w:noWrap w:val="0"/>
            <w:vAlign w:val="top"/>
          </w:tcPr>
          <w:p w14:paraId="5333A01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Значения показателей комплекса процессных мероприятий за отчетный год </w:t>
            </w:r>
          </w:p>
        </w:tc>
        <w:tc>
          <w:tcPr>
            <w:tcW w:w="1534" w:type="dxa"/>
            <w:gridSpan w:val="2"/>
            <w:vMerge w:val="restart"/>
            <w:noWrap w:val="0"/>
            <w:vAlign w:val="top"/>
          </w:tcPr>
          <w:p w14:paraId="3CA6A73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Eровень достижения планового значения показателя комплекса процессных мероприятий</w:t>
            </w:r>
          </w:p>
          <w:p w14:paraId="236A675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(УДп)</w:t>
            </w:r>
          </w:p>
        </w:tc>
      </w:tr>
      <w:tr w14:paraId="776BC9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465" w:type="dxa"/>
            <w:vMerge w:val="continue"/>
            <w:noWrap w:val="0"/>
            <w:vAlign w:val="top"/>
          </w:tcPr>
          <w:p w14:paraId="6B98D37B">
            <w:pPr>
              <w:rPr>
                <w:color w:val="000000"/>
              </w:rPr>
            </w:pPr>
          </w:p>
        </w:tc>
        <w:tc>
          <w:tcPr>
            <w:tcW w:w="4321" w:type="dxa"/>
            <w:vMerge w:val="continue"/>
            <w:noWrap w:val="0"/>
            <w:vAlign w:val="top"/>
          </w:tcPr>
          <w:p w14:paraId="72F91BD6">
            <w:pPr>
              <w:rPr>
                <w:color w:val="000000"/>
              </w:rPr>
            </w:pPr>
          </w:p>
        </w:tc>
        <w:tc>
          <w:tcPr>
            <w:tcW w:w="1206" w:type="dxa"/>
            <w:vMerge w:val="continue"/>
            <w:noWrap w:val="0"/>
            <w:vAlign w:val="top"/>
          </w:tcPr>
          <w:p w14:paraId="58106C92">
            <w:pPr>
              <w:rPr>
                <w:color w:val="000000"/>
              </w:rPr>
            </w:pPr>
          </w:p>
        </w:tc>
        <w:tc>
          <w:tcPr>
            <w:tcW w:w="1088" w:type="dxa"/>
            <w:noWrap w:val="0"/>
            <w:vAlign w:val="top"/>
          </w:tcPr>
          <w:p w14:paraId="42E41BCD">
            <w:pPr>
              <w:ind w:left="-108" w:right="-170"/>
              <w:jc w:val="center"/>
              <w:rPr>
                <w:color w:val="000000"/>
              </w:rPr>
            </w:pPr>
            <w:r>
              <w:rPr>
                <w:color w:val="000000"/>
              </w:rPr>
              <w:t>План</w:t>
            </w:r>
          </w:p>
          <w:p w14:paraId="57F42F7C">
            <w:pPr>
              <w:ind w:left="-108" w:right="-170"/>
              <w:jc w:val="center"/>
              <w:rPr>
                <w:color w:val="000000"/>
              </w:rPr>
            </w:pPr>
            <w:r>
              <w:rPr>
                <w:color w:val="000000"/>
              </w:rPr>
              <w:t>(ЗПп)</w:t>
            </w:r>
          </w:p>
        </w:tc>
        <w:tc>
          <w:tcPr>
            <w:tcW w:w="992" w:type="dxa"/>
            <w:noWrap w:val="0"/>
            <w:vAlign w:val="top"/>
          </w:tcPr>
          <w:p w14:paraId="2C86514D">
            <w:pPr>
              <w:ind w:lef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Факт</w:t>
            </w:r>
          </w:p>
          <w:p w14:paraId="4E2D8E53">
            <w:pPr>
              <w:ind w:lef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(ЗПф)</w:t>
            </w:r>
          </w:p>
        </w:tc>
        <w:tc>
          <w:tcPr>
            <w:tcW w:w="1534" w:type="dxa"/>
            <w:gridSpan w:val="2"/>
            <w:vMerge w:val="continue"/>
            <w:noWrap w:val="0"/>
            <w:vAlign w:val="top"/>
          </w:tcPr>
          <w:p w14:paraId="4612BE24">
            <w:pPr>
              <w:rPr>
                <w:color w:val="000000"/>
              </w:rPr>
            </w:pPr>
          </w:p>
        </w:tc>
      </w:tr>
      <w:tr w14:paraId="7B58FE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9606" w:type="dxa"/>
            <w:gridSpan w:val="7"/>
            <w:noWrap w:val="0"/>
            <w:vAlign w:val="top"/>
          </w:tcPr>
          <w:p w14:paraId="34478727">
            <w:pPr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Комплекс процессных мероприятий «Обеспечение эффективной информационной политики и развитие государственных средств массовой информации»</w:t>
            </w:r>
          </w:p>
        </w:tc>
      </w:tr>
      <w:tr w14:paraId="5C90BA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465" w:type="dxa"/>
            <w:noWrap w:val="0"/>
            <w:vAlign w:val="top"/>
          </w:tcPr>
          <w:p w14:paraId="07AE8FF3">
            <w:pPr>
              <w:rPr>
                <w:color w:val="000000"/>
              </w:rPr>
            </w:pPr>
            <w:r>
              <w:rPr>
                <w:color w:val="000000"/>
              </w:rPr>
              <w:t>1.</w:t>
            </w:r>
          </w:p>
        </w:tc>
        <w:tc>
          <w:tcPr>
            <w:tcW w:w="4321" w:type="dxa"/>
            <w:noWrap w:val="0"/>
            <w:vAlign w:val="top"/>
          </w:tcPr>
          <w:p w14:paraId="7902E390">
            <w:pPr>
              <w:rPr>
                <w:color w:val="000000"/>
              </w:rPr>
            </w:pPr>
            <w:r>
              <w:rPr>
                <w:color w:val="000000"/>
              </w:rPr>
              <w:t>Количество информационных агентств и (или) других сетевых изданий, распространяющих информацию о Курской области</w:t>
            </w:r>
          </w:p>
        </w:tc>
        <w:tc>
          <w:tcPr>
            <w:tcW w:w="1206" w:type="dxa"/>
            <w:noWrap w:val="0"/>
            <w:vAlign w:val="top"/>
          </w:tcPr>
          <w:p w14:paraId="39CAEC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единица</w:t>
            </w:r>
          </w:p>
        </w:tc>
        <w:tc>
          <w:tcPr>
            <w:tcW w:w="1088" w:type="dxa"/>
            <w:noWrap w:val="0"/>
            <w:vAlign w:val="top"/>
          </w:tcPr>
          <w:p w14:paraId="49FBCD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92" w:type="dxa"/>
            <w:gridSpan w:val="2"/>
            <w:noWrap w:val="0"/>
            <w:vAlign w:val="top"/>
          </w:tcPr>
          <w:p w14:paraId="39C8F92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  <w:p w14:paraId="35B8444B">
            <w:pPr>
              <w:jc w:val="center"/>
              <w:rPr>
                <w:color w:val="000000"/>
              </w:rPr>
            </w:pPr>
          </w:p>
        </w:tc>
        <w:tc>
          <w:tcPr>
            <w:tcW w:w="1334" w:type="dxa"/>
            <w:noWrap w:val="0"/>
            <w:vAlign w:val="top"/>
          </w:tcPr>
          <w:p w14:paraId="6E63CA3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1,0</w:t>
            </w:r>
          </w:p>
        </w:tc>
      </w:tr>
      <w:tr w14:paraId="492CE6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465" w:type="dxa"/>
            <w:noWrap w:val="0"/>
            <w:vAlign w:val="top"/>
          </w:tcPr>
          <w:p w14:paraId="32163EBF">
            <w:pPr>
              <w:rPr>
                <w:color w:val="000000"/>
              </w:rPr>
            </w:pPr>
            <w:r>
              <w:rPr>
                <w:color w:val="000000"/>
              </w:rPr>
              <w:t>2.</w:t>
            </w:r>
          </w:p>
        </w:tc>
        <w:tc>
          <w:tcPr>
            <w:tcW w:w="4321" w:type="dxa"/>
            <w:noWrap w:val="0"/>
            <w:vAlign w:val="top"/>
          </w:tcPr>
          <w:p w14:paraId="784D3CD9">
            <w:pPr>
              <w:rPr>
                <w:color w:val="000000"/>
              </w:rPr>
            </w:pPr>
            <w:r>
              <w:rPr>
                <w:color w:val="000000"/>
              </w:rPr>
              <w:t>Количество информационных материалов, размещенных в федеральных и региональных СМИ, о деятельности Губернатора Курской области, Правительства Курской области, исполнительных органов Курской области</w:t>
            </w:r>
          </w:p>
        </w:tc>
        <w:tc>
          <w:tcPr>
            <w:tcW w:w="1206" w:type="dxa"/>
            <w:noWrap w:val="0"/>
            <w:vAlign w:val="top"/>
          </w:tcPr>
          <w:p w14:paraId="7F5EE7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единица</w:t>
            </w:r>
          </w:p>
        </w:tc>
        <w:tc>
          <w:tcPr>
            <w:tcW w:w="1088" w:type="dxa"/>
            <w:noWrap w:val="0"/>
            <w:vAlign w:val="top"/>
          </w:tcPr>
          <w:p w14:paraId="3CD66CC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  <w:p w14:paraId="0F36F1ED">
            <w:pPr>
              <w:jc w:val="center"/>
              <w:rPr>
                <w:color w:val="000000"/>
              </w:rPr>
            </w:pPr>
          </w:p>
        </w:tc>
        <w:tc>
          <w:tcPr>
            <w:tcW w:w="1192" w:type="dxa"/>
            <w:gridSpan w:val="2"/>
            <w:noWrap w:val="0"/>
            <w:vAlign w:val="top"/>
          </w:tcPr>
          <w:p w14:paraId="238154E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334" w:type="dxa"/>
            <w:noWrap w:val="0"/>
            <w:vAlign w:val="top"/>
          </w:tcPr>
          <w:p w14:paraId="057F4D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1,0</w:t>
            </w:r>
          </w:p>
        </w:tc>
      </w:tr>
      <w:tr w14:paraId="45B701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465" w:type="dxa"/>
            <w:noWrap w:val="0"/>
            <w:vAlign w:val="top"/>
          </w:tcPr>
          <w:p w14:paraId="5F37E0E1">
            <w:pPr>
              <w:rPr>
                <w:color w:val="000000"/>
              </w:rPr>
            </w:pPr>
            <w:r>
              <w:rPr>
                <w:color w:val="000000"/>
              </w:rPr>
              <w:t>3.</w:t>
            </w:r>
          </w:p>
        </w:tc>
        <w:tc>
          <w:tcPr>
            <w:tcW w:w="4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5737A08">
            <w:pPr>
              <w:ind w:right="-108"/>
              <w:rPr>
                <w:color w:val="000000"/>
              </w:rPr>
            </w:pPr>
            <w:r>
              <w:rPr>
                <w:color w:val="000000"/>
              </w:rPr>
              <w:t>Количество организованных творческих конкурсов в установленной сфере деятельности</w:t>
            </w:r>
          </w:p>
        </w:tc>
        <w:tc>
          <w:tcPr>
            <w:tcW w:w="1206" w:type="dxa"/>
            <w:noWrap w:val="0"/>
            <w:vAlign w:val="top"/>
          </w:tcPr>
          <w:p w14:paraId="1ABAD65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единица</w:t>
            </w:r>
          </w:p>
        </w:tc>
        <w:tc>
          <w:tcPr>
            <w:tcW w:w="1088" w:type="dxa"/>
            <w:noWrap w:val="0"/>
            <w:vAlign w:val="top"/>
          </w:tcPr>
          <w:p w14:paraId="040C68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92" w:type="dxa"/>
            <w:gridSpan w:val="2"/>
            <w:noWrap w:val="0"/>
            <w:vAlign w:val="top"/>
          </w:tcPr>
          <w:p w14:paraId="35227F5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334" w:type="dxa"/>
            <w:noWrap w:val="0"/>
            <w:vAlign w:val="top"/>
          </w:tcPr>
          <w:p w14:paraId="5D1CBDF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1,0</w:t>
            </w:r>
          </w:p>
        </w:tc>
      </w:tr>
      <w:tr w14:paraId="1A591C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465" w:type="dxa"/>
            <w:noWrap w:val="0"/>
            <w:vAlign w:val="top"/>
          </w:tcPr>
          <w:p w14:paraId="4614FA6E">
            <w:pPr>
              <w:rPr>
                <w:color w:val="000000"/>
              </w:rPr>
            </w:pPr>
            <w:r>
              <w:rPr>
                <w:color w:val="000000"/>
              </w:rPr>
              <w:t>4.</w:t>
            </w:r>
          </w:p>
        </w:tc>
        <w:tc>
          <w:tcPr>
            <w:tcW w:w="4321" w:type="dxa"/>
            <w:noWrap w:val="0"/>
            <w:vAlign w:val="top"/>
          </w:tcPr>
          <w:p w14:paraId="5B196A8B">
            <w:pPr>
              <w:rPr>
                <w:color w:val="000000"/>
              </w:rPr>
            </w:pPr>
            <w:r>
              <w:rPr>
                <w:color w:val="000000"/>
              </w:rPr>
              <w:t>Количество выпускаемых номеров газет в год</w:t>
            </w:r>
          </w:p>
        </w:tc>
        <w:tc>
          <w:tcPr>
            <w:tcW w:w="1206" w:type="dxa"/>
            <w:noWrap w:val="0"/>
            <w:vAlign w:val="top"/>
          </w:tcPr>
          <w:p w14:paraId="752C03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ед.</w:t>
            </w:r>
          </w:p>
        </w:tc>
        <w:tc>
          <w:tcPr>
            <w:tcW w:w="1088" w:type="dxa"/>
            <w:noWrap w:val="0"/>
            <w:vAlign w:val="top"/>
          </w:tcPr>
          <w:p w14:paraId="4C68A2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1676</w:t>
            </w:r>
          </w:p>
        </w:tc>
        <w:tc>
          <w:tcPr>
            <w:tcW w:w="1192" w:type="dxa"/>
            <w:gridSpan w:val="2"/>
            <w:noWrap w:val="0"/>
            <w:vAlign w:val="top"/>
          </w:tcPr>
          <w:p w14:paraId="5FFF88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1676</w:t>
            </w:r>
          </w:p>
        </w:tc>
        <w:tc>
          <w:tcPr>
            <w:tcW w:w="1334" w:type="dxa"/>
            <w:noWrap w:val="0"/>
            <w:vAlign w:val="top"/>
          </w:tcPr>
          <w:p w14:paraId="3DEB422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1,0</w:t>
            </w:r>
          </w:p>
        </w:tc>
      </w:tr>
      <w:tr w14:paraId="167A55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465" w:type="dxa"/>
            <w:noWrap w:val="0"/>
            <w:vAlign w:val="top"/>
          </w:tcPr>
          <w:p w14:paraId="633A973B">
            <w:pPr>
              <w:rPr>
                <w:color w:val="000000"/>
              </w:rPr>
            </w:pPr>
            <w:r>
              <w:rPr>
                <w:color w:val="000000"/>
              </w:rPr>
              <w:t>5.</w:t>
            </w:r>
          </w:p>
        </w:tc>
        <w:tc>
          <w:tcPr>
            <w:tcW w:w="4321" w:type="dxa"/>
            <w:noWrap w:val="0"/>
            <w:vAlign w:val="top"/>
          </w:tcPr>
          <w:p w14:paraId="407D12DC">
            <w:pPr>
              <w:ind w:right="-108"/>
              <w:rPr>
                <w:color w:val="000000"/>
              </w:rPr>
            </w:pPr>
            <w:r>
              <w:rPr>
                <w:color w:val="000000"/>
              </w:rPr>
              <w:t>Объем собственного вещания областного канала: телевидения</w:t>
            </w:r>
          </w:p>
        </w:tc>
        <w:tc>
          <w:tcPr>
            <w:tcW w:w="1206" w:type="dxa"/>
            <w:noWrap w:val="0"/>
            <w:vAlign w:val="top"/>
          </w:tcPr>
          <w:p w14:paraId="31D904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Час.</w:t>
            </w:r>
          </w:p>
        </w:tc>
        <w:tc>
          <w:tcPr>
            <w:tcW w:w="1088" w:type="dxa"/>
            <w:noWrap w:val="0"/>
            <w:vAlign w:val="top"/>
          </w:tcPr>
          <w:p w14:paraId="25C09D0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1725,43</w:t>
            </w:r>
          </w:p>
        </w:tc>
        <w:tc>
          <w:tcPr>
            <w:tcW w:w="1192" w:type="dxa"/>
            <w:gridSpan w:val="2"/>
            <w:noWrap w:val="0"/>
            <w:vAlign w:val="top"/>
          </w:tcPr>
          <w:p w14:paraId="0F2D2DE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1725,43</w:t>
            </w:r>
          </w:p>
        </w:tc>
        <w:tc>
          <w:tcPr>
            <w:tcW w:w="1334" w:type="dxa"/>
            <w:noWrap w:val="0"/>
            <w:vAlign w:val="top"/>
          </w:tcPr>
          <w:p w14:paraId="3D25C5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1,0</w:t>
            </w:r>
          </w:p>
        </w:tc>
      </w:tr>
      <w:tr w14:paraId="3E7859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465" w:type="dxa"/>
            <w:noWrap w:val="0"/>
            <w:vAlign w:val="top"/>
          </w:tcPr>
          <w:p w14:paraId="406DFFAB">
            <w:pPr>
              <w:rPr>
                <w:color w:val="000000"/>
              </w:rPr>
            </w:pPr>
            <w:r>
              <w:rPr>
                <w:color w:val="000000"/>
              </w:rPr>
              <w:t>6.</w:t>
            </w:r>
          </w:p>
        </w:tc>
        <w:tc>
          <w:tcPr>
            <w:tcW w:w="4321" w:type="dxa"/>
            <w:noWrap w:val="0"/>
            <w:vAlign w:val="top"/>
          </w:tcPr>
          <w:p w14:paraId="2C16C8A7">
            <w:pPr>
              <w:rPr>
                <w:color w:val="000000"/>
              </w:rPr>
            </w:pPr>
            <w:r>
              <w:rPr>
                <w:color w:val="000000"/>
              </w:rPr>
              <w:t>Объем собственного вещания областного канала: радиоканала</w:t>
            </w:r>
          </w:p>
        </w:tc>
        <w:tc>
          <w:tcPr>
            <w:tcW w:w="1206" w:type="dxa"/>
            <w:noWrap w:val="0"/>
            <w:vAlign w:val="top"/>
          </w:tcPr>
          <w:p w14:paraId="0F645E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Минута </w:t>
            </w:r>
          </w:p>
        </w:tc>
        <w:tc>
          <w:tcPr>
            <w:tcW w:w="1088" w:type="dxa"/>
            <w:noWrap w:val="0"/>
            <w:vAlign w:val="top"/>
          </w:tcPr>
          <w:p w14:paraId="749204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47057,14</w:t>
            </w:r>
          </w:p>
        </w:tc>
        <w:tc>
          <w:tcPr>
            <w:tcW w:w="1192" w:type="dxa"/>
            <w:gridSpan w:val="2"/>
            <w:noWrap w:val="0"/>
            <w:vAlign w:val="top"/>
          </w:tcPr>
          <w:p w14:paraId="47386C2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47057,14</w:t>
            </w:r>
          </w:p>
        </w:tc>
        <w:tc>
          <w:tcPr>
            <w:tcW w:w="1334" w:type="dxa"/>
            <w:noWrap w:val="0"/>
            <w:vAlign w:val="top"/>
          </w:tcPr>
          <w:p w14:paraId="2A86C7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1,0</w:t>
            </w:r>
          </w:p>
        </w:tc>
      </w:tr>
      <w:tr w14:paraId="402103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465" w:type="dxa"/>
            <w:noWrap w:val="0"/>
            <w:vAlign w:val="top"/>
          </w:tcPr>
          <w:p w14:paraId="69986985">
            <w:pPr>
              <w:rPr>
                <w:color w:val="000000"/>
              </w:rPr>
            </w:pPr>
            <w:r>
              <w:rPr>
                <w:color w:val="000000"/>
              </w:rPr>
              <w:t>7.</w:t>
            </w:r>
          </w:p>
        </w:tc>
        <w:tc>
          <w:tcPr>
            <w:tcW w:w="4321" w:type="dxa"/>
            <w:noWrap w:val="0"/>
            <w:vAlign w:val="top"/>
          </w:tcPr>
          <w:p w14:paraId="06BA972E">
            <w:pPr>
              <w:rPr>
                <w:color w:val="000000"/>
              </w:rPr>
            </w:pPr>
            <w:r>
              <w:rPr>
                <w:color w:val="000000"/>
              </w:rPr>
              <w:t>Количество размещенных информационных материалов в сетевом издании</w:t>
            </w:r>
          </w:p>
        </w:tc>
        <w:tc>
          <w:tcPr>
            <w:tcW w:w="1206" w:type="dxa"/>
            <w:noWrap w:val="0"/>
            <w:vAlign w:val="top"/>
          </w:tcPr>
          <w:p w14:paraId="35B965C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Штука</w:t>
            </w:r>
          </w:p>
        </w:tc>
        <w:tc>
          <w:tcPr>
            <w:tcW w:w="1088" w:type="dxa"/>
            <w:noWrap w:val="0"/>
            <w:vAlign w:val="top"/>
          </w:tcPr>
          <w:p w14:paraId="2B978D0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7000</w:t>
            </w:r>
          </w:p>
        </w:tc>
        <w:tc>
          <w:tcPr>
            <w:tcW w:w="1192" w:type="dxa"/>
            <w:gridSpan w:val="2"/>
            <w:noWrap w:val="0"/>
            <w:vAlign w:val="top"/>
          </w:tcPr>
          <w:p w14:paraId="5D41A24D">
            <w:pPr>
              <w:ind w:right="-171"/>
              <w:rPr>
                <w:color w:val="000000"/>
              </w:rPr>
            </w:pPr>
            <w:r>
              <w:rPr>
                <w:color w:val="000000"/>
              </w:rPr>
              <w:t>10232</w:t>
            </w:r>
          </w:p>
        </w:tc>
        <w:tc>
          <w:tcPr>
            <w:tcW w:w="1334" w:type="dxa"/>
            <w:noWrap w:val="0"/>
            <w:vAlign w:val="top"/>
          </w:tcPr>
          <w:p w14:paraId="3D479E8C">
            <w:pPr>
              <w:ind w:lef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1,0</w:t>
            </w:r>
          </w:p>
        </w:tc>
      </w:tr>
      <w:tr w14:paraId="054389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9606" w:type="dxa"/>
            <w:gridSpan w:val="7"/>
            <w:noWrap w:val="0"/>
            <w:vAlign w:val="top"/>
          </w:tcPr>
          <w:p w14:paraId="286C60AE">
            <w:pPr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Комплекс процессных мероприятий «Обеспечение деятельности Министерства информации и общественных коммуникаций Курской области и мероприятий в сфере печати и массовой информации»</w:t>
            </w:r>
          </w:p>
        </w:tc>
      </w:tr>
      <w:tr w14:paraId="26D23A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465" w:type="dxa"/>
            <w:noWrap w:val="0"/>
            <w:vAlign w:val="top"/>
          </w:tcPr>
          <w:p w14:paraId="70BDD49C">
            <w:pPr>
              <w:ind w:right="-108"/>
              <w:rPr>
                <w:color w:val="000000"/>
              </w:rPr>
            </w:pPr>
            <w:r>
              <w:rPr>
                <w:color w:val="000000"/>
              </w:rPr>
              <w:t>8.</w:t>
            </w:r>
          </w:p>
        </w:tc>
        <w:tc>
          <w:tcPr>
            <w:tcW w:w="4321" w:type="dxa"/>
            <w:noWrap w:val="0"/>
            <w:vAlign w:val="top"/>
          </w:tcPr>
          <w:p w14:paraId="5F804AA2">
            <w:pPr>
              <w:rPr>
                <w:color w:val="000000"/>
              </w:rPr>
            </w:pPr>
            <w:r>
              <w:rPr>
                <w:color w:val="000000"/>
              </w:rPr>
              <w:t>Количество номинаций, в которых присуждена премия Губернатора Курской области в сфере средств массовой информации и массовых коммуникаций</w:t>
            </w:r>
          </w:p>
        </w:tc>
        <w:tc>
          <w:tcPr>
            <w:tcW w:w="1206" w:type="dxa"/>
            <w:noWrap w:val="0"/>
            <w:vAlign w:val="top"/>
          </w:tcPr>
          <w:p w14:paraId="181E3B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ед.</w:t>
            </w:r>
          </w:p>
        </w:tc>
        <w:tc>
          <w:tcPr>
            <w:tcW w:w="1088" w:type="dxa"/>
            <w:noWrap w:val="0"/>
            <w:vAlign w:val="top"/>
          </w:tcPr>
          <w:p w14:paraId="27261F5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92" w:type="dxa"/>
            <w:gridSpan w:val="2"/>
            <w:noWrap w:val="0"/>
            <w:vAlign w:val="top"/>
          </w:tcPr>
          <w:p w14:paraId="4D30DDB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334" w:type="dxa"/>
            <w:noWrap w:val="0"/>
            <w:vAlign w:val="top"/>
          </w:tcPr>
          <w:p w14:paraId="70B407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</w:tbl>
    <w:p w14:paraId="414FEFED"/>
    <w:p w14:paraId="7901618D"/>
    <w:p w14:paraId="1F8D8CA7"/>
    <w:p w14:paraId="4170E6F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Оценка уровня достижения показателей комплекса процессных мероприятий.</w:t>
      </w:r>
    </w:p>
    <w:p w14:paraId="0C7665C9">
      <w:pPr>
        <w:rPr>
          <w:color w:val="000000"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 xml:space="preserve">1.4.1. Уровень достижения планового значения показателя комплекса </w:t>
      </w:r>
      <w:r>
        <w:rPr>
          <w:color w:val="000000"/>
          <w:sz w:val="28"/>
          <w:szCs w:val="28"/>
        </w:rPr>
        <w:t>процессных мероприятий рассчитана по формуле:</w:t>
      </w:r>
    </w:p>
    <w:p w14:paraId="55638DCC">
      <w:pPr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показателей, желаемой тенденцией развития которых является увеличение значения, по формуле: </w:t>
      </w:r>
    </w:p>
    <w:p w14:paraId="08603C11">
      <w:pPr>
        <w:ind w:left="709"/>
        <w:jc w:val="both"/>
        <w:rPr>
          <w:sz w:val="28"/>
          <w:szCs w:val="28"/>
        </w:rPr>
      </w:pPr>
    </w:p>
    <w:p w14:paraId="3DF6E479">
      <w:pPr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>УДп = ЗПф/ЗПп</w:t>
      </w:r>
    </w:p>
    <w:p w14:paraId="20373B2E">
      <w:pPr>
        <w:rPr>
          <w:sz w:val="28"/>
          <w:szCs w:val="28"/>
        </w:rPr>
      </w:pPr>
    </w:p>
    <w:p w14:paraId="72C16E7E">
      <w:pPr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показателей, желаемой тенденцией развития которых является уменьшение значения, по формуле: </w:t>
      </w:r>
    </w:p>
    <w:p w14:paraId="30CACF79">
      <w:pPr>
        <w:ind w:left="709"/>
        <w:jc w:val="both"/>
        <w:rPr>
          <w:sz w:val="28"/>
          <w:szCs w:val="28"/>
        </w:rPr>
      </w:pPr>
    </w:p>
    <w:p w14:paraId="24CB9A67">
      <w:pPr>
        <w:ind w:left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УДп = ЗПп/ЗПф</w:t>
      </w:r>
    </w:p>
    <w:p w14:paraId="2EF39B23">
      <w:pPr>
        <w:ind w:left="709"/>
        <w:jc w:val="both"/>
        <w:rPr>
          <w:sz w:val="28"/>
          <w:szCs w:val="28"/>
        </w:rPr>
      </w:pPr>
    </w:p>
    <w:p w14:paraId="0E8A0234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>где:</w:t>
      </w:r>
    </w:p>
    <w:p w14:paraId="31C0916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>УДп - уровень достижения планового значения показателя комплекса процессных мероприятий;</w:t>
      </w:r>
    </w:p>
    <w:p w14:paraId="59E3B32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>ЗПп – плановое значение показателя комплекса процессных мероприятий на конец отчетного года;</w:t>
      </w:r>
    </w:p>
    <w:p w14:paraId="615DE4D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>ЗПф – значение показателя комплекса процессных мероприятий, фактически достигнутое на конец отчетного года.</w:t>
      </w:r>
    </w:p>
    <w:p w14:paraId="1100368E">
      <w:pPr>
        <w:ind w:firstLine="708"/>
        <w:rPr>
          <w:color w:val="FB290D"/>
          <w:sz w:val="28"/>
          <w:szCs w:val="28"/>
        </w:rPr>
      </w:pPr>
    </w:p>
    <w:p w14:paraId="1C76114A">
      <w:pPr>
        <w:numPr>
          <w:ilvl w:val="2"/>
          <w:numId w:val="4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Уровень достижения показателей комплекса процессных мероприятий рассчитывался по формуле:</w:t>
      </w:r>
    </w:p>
    <w:p w14:paraId="0FD17DA8">
      <w:pPr>
        <w:ind w:left="1579"/>
        <w:jc w:val="both"/>
        <w:rPr>
          <w:color w:val="000000"/>
          <w:sz w:val="28"/>
          <w:szCs w:val="28"/>
        </w:rPr>
      </w:pPr>
    </w:p>
    <w:tbl>
      <w:tblPr>
        <w:tblStyle w:val="3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55"/>
      </w:tblGrid>
      <w:tr w14:paraId="55EFBF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360" w:hRule="atLeast"/>
        </w:trPr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0489C57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N  </w:t>
            </w:r>
          </w:p>
        </w:tc>
      </w:tr>
      <w:tr w14:paraId="085454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360" w:hRule="atLeast"/>
        </w:trPr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47EF9BA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УДпкпм =  ∑УДпi/N</w:t>
            </w:r>
          </w:p>
        </w:tc>
      </w:tr>
      <w:tr w14:paraId="32BF5B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06" w:hRule="atLeast"/>
        </w:trPr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E7B21B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i=1</w:t>
            </w:r>
          </w:p>
        </w:tc>
      </w:tr>
    </w:tbl>
    <w:p w14:paraId="299C64DB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>где:</w:t>
      </w:r>
    </w:p>
    <w:p w14:paraId="210C8B6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>УДпкпм – уровень достижения показателей комплекса процессных мероприятий;</w:t>
      </w:r>
    </w:p>
    <w:p w14:paraId="64638ED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>УДпi – уровень достижения планового значения i-го показателя комплекса процессных мероприятий;</w:t>
      </w:r>
    </w:p>
    <w:p w14:paraId="048D32E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 xml:space="preserve">N – число показателей комплекса процессных мероприятий </w:t>
      </w:r>
    </w:p>
    <w:p w14:paraId="50C4DFE7">
      <w:pPr>
        <w:rPr>
          <w:sz w:val="28"/>
          <w:szCs w:val="28"/>
        </w:rPr>
      </w:pPr>
      <w:r>
        <w:rPr>
          <w:sz w:val="28"/>
          <w:szCs w:val="28"/>
        </w:rPr>
        <w:t>.</w:t>
      </w:r>
    </w:p>
    <w:p w14:paraId="253D826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 xml:space="preserve">УДпкпм комплекса процессных мероприятий </w:t>
      </w:r>
      <w:bookmarkStart w:id="1" w:name="_Hlk191383814"/>
      <w:r>
        <w:rPr>
          <w:sz w:val="28"/>
          <w:szCs w:val="28"/>
        </w:rPr>
        <w:t>«Обеспечение деятельности Министерства информации и общественных коммуникаций Курской области и мероприятий в сфере печати и массовой информации»</w:t>
      </w:r>
      <w:bookmarkEnd w:id="1"/>
      <w:r>
        <w:rPr>
          <w:sz w:val="28"/>
          <w:szCs w:val="28"/>
        </w:rPr>
        <w:t xml:space="preserve"> =  (1,0+1,0+1,0+1,0+1,0+1,0+1,0) /7 = 1,0</w:t>
      </w:r>
    </w:p>
    <w:p w14:paraId="6F1E430E">
      <w:pPr>
        <w:jc w:val="both"/>
        <w:rPr>
          <w:sz w:val="28"/>
          <w:szCs w:val="28"/>
        </w:rPr>
      </w:pPr>
    </w:p>
    <w:p w14:paraId="4F946C6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УДпкпм комплекса процессных мероприятий «Обеспечение деятельности Министерства информации и общественных коммуникаций Курской области и мероприятий в сфере печати и массовой информации» =  1,0 /1 = 1,0</w:t>
      </w:r>
    </w:p>
    <w:p w14:paraId="00298115">
      <w:pPr>
        <w:ind w:firstLine="705"/>
        <w:rPr>
          <w:sz w:val="28"/>
          <w:szCs w:val="28"/>
        </w:rPr>
      </w:pPr>
    </w:p>
    <w:p w14:paraId="54D85A5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1.4.3. Оценка эффективности реализации комплекса процессных мероприятий проведена по формуле:</w:t>
      </w:r>
    </w:p>
    <w:p w14:paraId="3DAF974C">
      <w:pPr>
        <w:ind w:firstLine="709"/>
        <w:jc w:val="both"/>
        <w:rPr>
          <w:sz w:val="16"/>
          <w:szCs w:val="16"/>
        </w:rPr>
      </w:pPr>
    </w:p>
    <w:p w14:paraId="5A62C54E">
      <w:pPr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>УДкпм = УДпкпм х Эискпм</w:t>
      </w:r>
    </w:p>
    <w:p w14:paraId="1FE41742">
      <w:pPr>
        <w:ind w:firstLine="709"/>
        <w:rPr>
          <w:sz w:val="16"/>
          <w:szCs w:val="16"/>
        </w:rPr>
      </w:pPr>
    </w:p>
    <w:p w14:paraId="1EFFEB1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>где:</w:t>
      </w:r>
    </w:p>
    <w:p w14:paraId="29DB610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>УДкпм – уровень достижения реализации комплекса процессных мероприятий;</w:t>
      </w:r>
    </w:p>
    <w:p w14:paraId="703B4CB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>УДпкпм – уровень достижения показателей комплекса процессных мероприятий;</w:t>
      </w:r>
    </w:p>
    <w:p w14:paraId="0F47B4C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>Эискпм - эффективность использования средств областного бюджета.</w:t>
      </w:r>
    </w:p>
    <w:p w14:paraId="4544CAB6">
      <w:pPr>
        <w:ind w:firstLine="708"/>
        <w:rPr>
          <w:sz w:val="28"/>
          <w:szCs w:val="28"/>
        </w:rPr>
      </w:pPr>
    </w:p>
    <w:p w14:paraId="62DB0AE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УДкпм комплекса процессных мероприятий «Обеспечение деятельности Министерства информации и общественных коммуникаций Курской области и мероприятий в сфере печати и массовой информации» = 1,0*1= 1,0</w:t>
      </w:r>
    </w:p>
    <w:p w14:paraId="19616E88">
      <w:pPr>
        <w:ind w:firstLine="708"/>
        <w:rPr>
          <w:sz w:val="28"/>
          <w:szCs w:val="28"/>
        </w:rPr>
      </w:pPr>
    </w:p>
    <w:p w14:paraId="2D9A13E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УДкпм комплекса процессных мероприятий «Обеспечение деятельности Министерства информации и общественных коммуникаций Курской области и мероприятий в сфере печати и массовой информации» = 1,0*1= 1,0</w:t>
      </w:r>
    </w:p>
    <w:p w14:paraId="48108C12">
      <w:pPr>
        <w:ind w:firstLine="708"/>
        <w:rPr>
          <w:color w:val="FB290D"/>
          <w:sz w:val="28"/>
          <w:szCs w:val="28"/>
        </w:rPr>
      </w:pPr>
    </w:p>
    <w:p w14:paraId="192DB0D6">
      <w:pPr>
        <w:numPr>
          <w:ilvl w:val="2"/>
          <w:numId w:val="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Оценка эффективности реализации процессной части государственной программы рассчитана по следующей формуле:</w:t>
      </w:r>
      <w:r>
        <w:rPr>
          <w:sz w:val="28"/>
          <w:szCs w:val="28"/>
        </w:rPr>
        <w:tab/>
      </w:r>
    </w:p>
    <w:p w14:paraId="1539F528">
      <w:pPr>
        <w:ind w:left="1579"/>
        <w:jc w:val="both"/>
        <w:rPr>
          <w:sz w:val="16"/>
          <w:szCs w:val="16"/>
        </w:rPr>
      </w:pPr>
    </w:p>
    <w:tbl>
      <w:tblPr>
        <w:tblStyle w:val="3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55"/>
      </w:tblGrid>
      <w:tr w14:paraId="579691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360" w:hRule="atLeast"/>
        </w:trPr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1CF3FD0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N  </w:t>
            </w:r>
          </w:p>
        </w:tc>
      </w:tr>
      <w:tr w14:paraId="541C2B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360" w:hRule="atLeast"/>
        </w:trPr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63D71EA8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УДпрцч =  ∑(УДкпмj х kj)</w:t>
            </w:r>
          </w:p>
        </w:tc>
      </w:tr>
      <w:tr w14:paraId="14EB64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06" w:hRule="atLeast"/>
        </w:trPr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BF8275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i=1</w:t>
            </w:r>
          </w:p>
        </w:tc>
      </w:tr>
    </w:tbl>
    <w:p w14:paraId="368E8A32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>где:</w:t>
      </w:r>
    </w:p>
    <w:p w14:paraId="3163C1A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>УДпрцч – уровень достижения реализации процессной части государственной программы;</w:t>
      </w:r>
    </w:p>
    <w:p w14:paraId="35328B8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>УДкпмj – уровень достижения реализации j-го комплекса процессных мероприятий;</w:t>
      </w:r>
    </w:p>
    <w:p w14:paraId="5C43964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>N – количество комплексов процессных мероприятий, входящих в процессную часть государственной программы;</w:t>
      </w:r>
    </w:p>
    <w:p w14:paraId="38DB43E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kj – коэффициент значимости комплекса процессных мероприятий в процесной части государственной программы, который рассчитан по следующей формуле:</w:t>
      </w:r>
    </w:p>
    <w:p w14:paraId="1C45BEB8">
      <w:pPr>
        <w:ind w:firstLine="709"/>
        <w:rPr>
          <w:sz w:val="28"/>
          <w:szCs w:val="28"/>
        </w:rPr>
      </w:pPr>
      <w:r>
        <w:rPr>
          <w:sz w:val="28"/>
          <w:szCs w:val="28"/>
        </w:rPr>
        <w:t>kj = Фj/Фпрцч</w:t>
      </w:r>
    </w:p>
    <w:p w14:paraId="1CB6B844">
      <w:pPr>
        <w:ind w:firstLine="709"/>
        <w:rPr>
          <w:sz w:val="28"/>
          <w:szCs w:val="28"/>
        </w:rPr>
      </w:pPr>
      <w:r>
        <w:rPr>
          <w:sz w:val="28"/>
          <w:szCs w:val="28"/>
        </w:rPr>
        <w:t>где:</w:t>
      </w:r>
    </w:p>
    <w:p w14:paraId="6B3E8AE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Фj – объем фактических расходов из областного бюджета (с учетом межбюджетных трансфертов из федерального бюджета) (кассового исполнения) на реализацию j-го комплекса процессных мероприятий в отчетном году;</w:t>
      </w:r>
    </w:p>
    <w:p w14:paraId="78C434F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Фпрцч – объем фактических расходов из областного бюджета (с учетом межбюджетных трансфертов из федерального бюджета) (кассового исполнения) на реализацию j-го комплекса процессных мероприятий в отчетном году</w:t>
      </w:r>
    </w:p>
    <w:p w14:paraId="1C8BF7DC">
      <w:pPr>
        <w:rPr>
          <w:sz w:val="28"/>
          <w:szCs w:val="28"/>
        </w:rPr>
      </w:pPr>
    </w:p>
    <w:p w14:paraId="78263D20">
      <w:pPr>
        <w:rPr>
          <w:color w:val="FB290D"/>
          <w:sz w:val="28"/>
          <w:szCs w:val="28"/>
        </w:rPr>
      </w:pPr>
      <w:r>
        <w:rPr>
          <w:sz w:val="28"/>
          <w:szCs w:val="28"/>
        </w:rPr>
        <w:t>УДпрцч = 1,0 х (1765</w:t>
      </w:r>
      <w:r>
        <w:rPr>
          <w:sz w:val="28"/>
          <w:szCs w:val="28"/>
          <w:lang w:val="en-US"/>
        </w:rPr>
        <w:t>78</w:t>
      </w:r>
      <w:r>
        <w:rPr>
          <w:sz w:val="28"/>
          <w:szCs w:val="28"/>
        </w:rPr>
        <w:t>,047/</w:t>
      </w:r>
      <w:r>
        <w:rPr>
          <w:sz w:val="28"/>
          <w:szCs w:val="28"/>
          <w:lang w:val="en-US"/>
        </w:rPr>
        <w:t>176580.047</w:t>
      </w:r>
      <w:r>
        <w:rPr>
          <w:sz w:val="28"/>
          <w:szCs w:val="28"/>
        </w:rPr>
        <w:t>) +1,0 (29606,651/2</w:t>
      </w:r>
      <w:r>
        <w:rPr>
          <w:sz w:val="28"/>
          <w:szCs w:val="28"/>
          <w:lang w:val="en-US"/>
        </w:rPr>
        <w:t>9610</w:t>
      </w:r>
      <w:r>
        <w:rPr>
          <w:sz w:val="28"/>
          <w:szCs w:val="28"/>
        </w:rPr>
        <w:t>,</w:t>
      </w:r>
      <w:r>
        <w:rPr>
          <w:sz w:val="28"/>
          <w:szCs w:val="28"/>
          <w:lang w:val="en-US"/>
        </w:rPr>
        <w:t>750</w:t>
      </w:r>
      <w:r>
        <w:rPr>
          <w:sz w:val="28"/>
          <w:szCs w:val="28"/>
        </w:rPr>
        <w:t>)) = 1,0.</w:t>
      </w:r>
    </w:p>
    <w:p w14:paraId="68ACF9CD">
      <w:pPr>
        <w:jc w:val="center"/>
      </w:pPr>
    </w:p>
    <w:p w14:paraId="12807BE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Оценка эффективности реализации государственной программы «"Реализация государственной политики в сфере печати и массовой информации в Курской области"»</w:t>
      </w:r>
    </w:p>
    <w:p w14:paraId="05D54F23">
      <w:pPr>
        <w:jc w:val="both"/>
        <w:rPr>
          <w:sz w:val="28"/>
          <w:szCs w:val="28"/>
        </w:rPr>
      </w:pPr>
    </w:p>
    <w:p w14:paraId="79E3170A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Оценка эффективности реализации государственной программы определяется в зависимости от уровня достижения показателей государственной программы и процессной части государственной программы.</w:t>
      </w:r>
    </w:p>
    <w:p w14:paraId="232EA078">
      <w:pPr>
        <w:jc w:val="both"/>
        <w:rPr>
          <w:sz w:val="28"/>
          <w:szCs w:val="28"/>
        </w:rPr>
      </w:pPr>
    </w:p>
    <w:p w14:paraId="3E4ED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Уровень достижения планового значения показателя государственной программы</w:t>
      </w:r>
    </w:p>
    <w:p w14:paraId="1765751C">
      <w:pPr>
        <w:jc w:val="center"/>
        <w:rPr>
          <w:color w:val="FB290D"/>
        </w:rPr>
      </w:pPr>
    </w:p>
    <w:p w14:paraId="1CA7E6EA">
      <w:pPr>
        <w:ind w:firstLine="708"/>
        <w:jc w:val="right"/>
        <w:rPr>
          <w:b/>
          <w:sz w:val="28"/>
          <w:szCs w:val="28"/>
        </w:rPr>
      </w:pPr>
      <w:r>
        <w:rPr>
          <w:b/>
          <w:color w:val="FB290D"/>
          <w:sz w:val="28"/>
          <w:szCs w:val="28"/>
        </w:rPr>
        <w:t xml:space="preserve">                                                                                              </w:t>
      </w:r>
      <w:r>
        <w:rPr>
          <w:b/>
          <w:sz w:val="28"/>
          <w:szCs w:val="28"/>
        </w:rPr>
        <w:t xml:space="preserve"> Таблица № 5</w:t>
      </w:r>
    </w:p>
    <w:p w14:paraId="03AF6939">
      <w:pPr>
        <w:ind w:firstLine="708"/>
        <w:rPr>
          <w:b/>
        </w:rPr>
      </w:pPr>
    </w:p>
    <w:tbl>
      <w:tblPr>
        <w:tblStyle w:val="3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5"/>
        <w:gridCol w:w="3471"/>
        <w:gridCol w:w="2056"/>
        <w:gridCol w:w="892"/>
        <w:gridCol w:w="1410"/>
        <w:gridCol w:w="762"/>
      </w:tblGrid>
      <w:tr w14:paraId="26576F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465" w:type="dxa"/>
            <w:vMerge w:val="restart"/>
            <w:noWrap w:val="0"/>
            <w:vAlign w:val="top"/>
          </w:tcPr>
          <w:p w14:paraId="79CF90C2">
            <w:pPr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3471" w:type="dxa"/>
            <w:vMerge w:val="restart"/>
            <w:noWrap w:val="0"/>
            <w:vAlign w:val="top"/>
          </w:tcPr>
          <w:p w14:paraId="2C009EE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Показатель </w:t>
            </w:r>
          </w:p>
          <w:p w14:paraId="56B4F00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государственной программы</w:t>
            </w:r>
          </w:p>
        </w:tc>
        <w:tc>
          <w:tcPr>
            <w:tcW w:w="2056" w:type="dxa"/>
            <w:vMerge w:val="restart"/>
            <w:noWrap w:val="0"/>
            <w:vAlign w:val="top"/>
          </w:tcPr>
          <w:p w14:paraId="17C6DA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Ед. измерения</w:t>
            </w:r>
          </w:p>
        </w:tc>
        <w:tc>
          <w:tcPr>
            <w:tcW w:w="2302" w:type="dxa"/>
            <w:gridSpan w:val="2"/>
            <w:noWrap w:val="0"/>
            <w:vAlign w:val="top"/>
          </w:tcPr>
          <w:p w14:paraId="1850B1D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Значения показателей государственной программы за отчетный год </w:t>
            </w:r>
          </w:p>
        </w:tc>
        <w:tc>
          <w:tcPr>
            <w:tcW w:w="762" w:type="dxa"/>
            <w:vMerge w:val="restart"/>
            <w:noWrap w:val="0"/>
            <w:vAlign w:val="top"/>
          </w:tcPr>
          <w:p w14:paraId="3A07B103">
            <w:pPr>
              <w:rPr>
                <w:color w:val="000000"/>
              </w:rPr>
            </w:pPr>
          </w:p>
        </w:tc>
      </w:tr>
      <w:tr w14:paraId="47D0C1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465" w:type="dxa"/>
            <w:vMerge w:val="continue"/>
            <w:noWrap w:val="0"/>
            <w:vAlign w:val="top"/>
          </w:tcPr>
          <w:p w14:paraId="40544F0C">
            <w:pPr>
              <w:rPr>
                <w:color w:val="000000"/>
              </w:rPr>
            </w:pPr>
          </w:p>
        </w:tc>
        <w:tc>
          <w:tcPr>
            <w:tcW w:w="3471" w:type="dxa"/>
            <w:vMerge w:val="continue"/>
            <w:noWrap w:val="0"/>
            <w:vAlign w:val="top"/>
          </w:tcPr>
          <w:p w14:paraId="0FF8908C">
            <w:pPr>
              <w:rPr>
                <w:color w:val="000000"/>
              </w:rPr>
            </w:pPr>
          </w:p>
        </w:tc>
        <w:tc>
          <w:tcPr>
            <w:tcW w:w="2056" w:type="dxa"/>
            <w:vMerge w:val="continue"/>
            <w:noWrap w:val="0"/>
            <w:vAlign w:val="top"/>
          </w:tcPr>
          <w:p w14:paraId="784FE34F">
            <w:pPr>
              <w:rPr>
                <w:color w:val="000000"/>
              </w:rPr>
            </w:pPr>
          </w:p>
        </w:tc>
        <w:tc>
          <w:tcPr>
            <w:tcW w:w="892" w:type="dxa"/>
            <w:noWrap w:val="0"/>
            <w:vAlign w:val="top"/>
          </w:tcPr>
          <w:p w14:paraId="4CB96D1F">
            <w:pPr>
              <w:ind w:left="-108" w:right="-170"/>
              <w:jc w:val="center"/>
              <w:rPr>
                <w:color w:val="000000"/>
              </w:rPr>
            </w:pPr>
            <w:r>
              <w:rPr>
                <w:color w:val="000000"/>
              </w:rPr>
              <w:t>План</w:t>
            </w:r>
          </w:p>
          <w:p w14:paraId="00949C5D">
            <w:pPr>
              <w:ind w:left="-108" w:right="-170"/>
              <w:jc w:val="center"/>
              <w:rPr>
                <w:color w:val="000000"/>
              </w:rPr>
            </w:pPr>
            <w:r>
              <w:rPr>
                <w:color w:val="000000"/>
              </w:rPr>
              <w:t>(ЗПгпп)</w:t>
            </w:r>
          </w:p>
        </w:tc>
        <w:tc>
          <w:tcPr>
            <w:tcW w:w="1410" w:type="dxa"/>
            <w:noWrap w:val="0"/>
            <w:vAlign w:val="top"/>
          </w:tcPr>
          <w:p w14:paraId="1BD2ED34">
            <w:pPr>
              <w:ind w:lef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Факт</w:t>
            </w:r>
          </w:p>
          <w:p w14:paraId="21F0F802">
            <w:pPr>
              <w:ind w:lef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(ЗПгпф)</w:t>
            </w:r>
          </w:p>
        </w:tc>
        <w:tc>
          <w:tcPr>
            <w:tcW w:w="762" w:type="dxa"/>
            <w:vMerge w:val="continue"/>
            <w:noWrap w:val="0"/>
            <w:vAlign w:val="top"/>
          </w:tcPr>
          <w:p w14:paraId="48809630">
            <w:pPr>
              <w:rPr>
                <w:color w:val="000000"/>
              </w:rPr>
            </w:pPr>
          </w:p>
        </w:tc>
      </w:tr>
      <w:tr w14:paraId="29EB8B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465" w:type="dxa"/>
            <w:noWrap w:val="0"/>
            <w:vAlign w:val="top"/>
          </w:tcPr>
          <w:p w14:paraId="162D93FF">
            <w:pPr>
              <w:rPr>
                <w:color w:val="000000"/>
              </w:rPr>
            </w:pPr>
            <w:r>
              <w:rPr>
                <w:color w:val="000000"/>
              </w:rPr>
              <w:t>1.</w:t>
            </w:r>
          </w:p>
        </w:tc>
        <w:tc>
          <w:tcPr>
            <w:tcW w:w="3471" w:type="dxa"/>
            <w:noWrap w:val="0"/>
            <w:vAlign w:val="top"/>
          </w:tcPr>
          <w:p w14:paraId="1A7A3CEC">
            <w:pPr>
              <w:rPr>
                <w:color w:val="000000"/>
              </w:rPr>
            </w:pPr>
            <w:r>
              <w:rPr>
                <w:color w:val="000000"/>
              </w:rPr>
              <w:t>Уровень удовлетворенности населения Курской области информационным освещением деятельности органов власти Курской области</w:t>
            </w:r>
          </w:p>
        </w:tc>
        <w:tc>
          <w:tcPr>
            <w:tcW w:w="2056" w:type="dxa"/>
            <w:noWrap w:val="0"/>
            <w:vAlign w:val="top"/>
          </w:tcPr>
          <w:p w14:paraId="167D024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проц.</w:t>
            </w:r>
          </w:p>
        </w:tc>
        <w:tc>
          <w:tcPr>
            <w:tcW w:w="892" w:type="dxa"/>
            <w:noWrap w:val="0"/>
            <w:vAlign w:val="top"/>
          </w:tcPr>
          <w:p w14:paraId="4E1C62E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56,3</w:t>
            </w:r>
          </w:p>
        </w:tc>
        <w:tc>
          <w:tcPr>
            <w:tcW w:w="1410" w:type="dxa"/>
            <w:noWrap w:val="0"/>
            <w:vAlign w:val="top"/>
          </w:tcPr>
          <w:p w14:paraId="7F866F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56,4</w:t>
            </w:r>
          </w:p>
        </w:tc>
        <w:tc>
          <w:tcPr>
            <w:tcW w:w="762" w:type="dxa"/>
            <w:noWrap w:val="0"/>
            <w:vAlign w:val="top"/>
          </w:tcPr>
          <w:p w14:paraId="72D969C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1,0</w:t>
            </w:r>
          </w:p>
        </w:tc>
      </w:tr>
    </w:tbl>
    <w:p w14:paraId="69FD19D9"/>
    <w:p w14:paraId="005070C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2.1.1. Уровень достижения планового значения показателей государственной программы рассчитан по формуле:</w:t>
      </w:r>
    </w:p>
    <w:p w14:paraId="287EB566">
      <w:pPr>
        <w:ind w:firstLine="709"/>
        <w:jc w:val="both"/>
        <w:rPr>
          <w:sz w:val="28"/>
          <w:szCs w:val="28"/>
        </w:rPr>
      </w:pPr>
    </w:p>
    <w:p w14:paraId="5D107E9C">
      <w:pPr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УДпгп = ЗПгпп/ЗПгпф</w:t>
      </w:r>
    </w:p>
    <w:p w14:paraId="53C5141D">
      <w:pPr>
        <w:ind w:firstLine="709"/>
        <w:rPr>
          <w:sz w:val="28"/>
          <w:szCs w:val="28"/>
        </w:rPr>
      </w:pPr>
    </w:p>
    <w:p w14:paraId="7BA8C473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>где:</w:t>
      </w:r>
    </w:p>
    <w:p w14:paraId="68D7299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>УДпгп - уровень достижения планового значения показателя государственной программы;</w:t>
      </w:r>
    </w:p>
    <w:p w14:paraId="5B32F28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>ЗПгпп – плановое значение показателя государственной программы на конец отчетного года;</w:t>
      </w:r>
    </w:p>
    <w:p w14:paraId="3EEF15B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>ЗПгпф – значение показателя государственной программы, фактически достигнутое на конец отчетного года.</w:t>
      </w:r>
    </w:p>
    <w:p w14:paraId="101BA69E">
      <w:pPr>
        <w:jc w:val="both"/>
        <w:rPr>
          <w:sz w:val="28"/>
          <w:szCs w:val="28"/>
        </w:rPr>
      </w:pPr>
    </w:p>
    <w:p w14:paraId="51B443F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2.1.2. Уровень достижения показателей государственной программы рассчитывался по формуле:</w:t>
      </w:r>
    </w:p>
    <w:tbl>
      <w:tblPr>
        <w:tblStyle w:val="3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55"/>
      </w:tblGrid>
      <w:tr w14:paraId="593F5C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360" w:hRule="atLeast"/>
        </w:trPr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3BDD378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</w:p>
          <w:p w14:paraId="19309DC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М  </w:t>
            </w:r>
          </w:p>
        </w:tc>
      </w:tr>
      <w:tr w14:paraId="775B82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360" w:hRule="atLeast"/>
        </w:trPr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5322883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УДПгп =  ∑УДпгпi/М</w:t>
            </w:r>
          </w:p>
        </w:tc>
      </w:tr>
      <w:tr w14:paraId="71B313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06" w:hRule="atLeast"/>
        </w:trPr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5E4E943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i=1</w:t>
            </w:r>
          </w:p>
          <w:p w14:paraId="7295A274">
            <w:pPr>
              <w:rPr>
                <w:b/>
                <w:sz w:val="28"/>
                <w:szCs w:val="28"/>
              </w:rPr>
            </w:pPr>
          </w:p>
        </w:tc>
      </w:tr>
    </w:tbl>
    <w:p w14:paraId="15D81B5D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>где:</w:t>
      </w:r>
    </w:p>
    <w:p w14:paraId="1884073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>УДПгп – уровень достижения показателей государственной программы;</w:t>
      </w:r>
    </w:p>
    <w:p w14:paraId="50EC2EF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>УДпгпi – уровень достижения планового значения i-го показателя государственной программы;</w:t>
      </w:r>
    </w:p>
    <w:p w14:paraId="6B72CE1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 xml:space="preserve">М – число показателей государственной программы. </w:t>
      </w:r>
    </w:p>
    <w:p w14:paraId="1AD8EFA4">
      <w:pPr>
        <w:rPr>
          <w:sz w:val="28"/>
          <w:szCs w:val="28"/>
        </w:rPr>
      </w:pPr>
    </w:p>
    <w:p w14:paraId="6F369C2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>УДПгп государственной программы "Реализация государственной политики в сфере печати и массовой информации в Курской области" 1/1 = 1,0</w:t>
      </w:r>
    </w:p>
    <w:p w14:paraId="021AAAA3">
      <w:pPr>
        <w:ind w:firstLine="708"/>
        <w:rPr>
          <w:sz w:val="28"/>
          <w:szCs w:val="28"/>
        </w:rPr>
      </w:pPr>
    </w:p>
    <w:p w14:paraId="3C4FCADD">
      <w:pPr>
        <w:ind w:firstLine="709"/>
        <w:rPr>
          <w:sz w:val="28"/>
          <w:szCs w:val="28"/>
        </w:rPr>
      </w:pPr>
      <w:r>
        <w:rPr>
          <w:sz w:val="28"/>
          <w:szCs w:val="28"/>
        </w:rPr>
        <w:t>2.2. Оценка эффективности реализации государственной программы определена по следующей формуле:</w:t>
      </w:r>
      <w:r>
        <w:rPr>
          <w:sz w:val="28"/>
          <w:szCs w:val="28"/>
        </w:rPr>
        <w:tab/>
      </w:r>
    </w:p>
    <w:tbl>
      <w:tblPr>
        <w:tblStyle w:val="3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55"/>
      </w:tblGrid>
      <w:tr w14:paraId="17A20D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360" w:hRule="atLeast"/>
        </w:trPr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9BB816B">
            <w:pPr>
              <w:rPr>
                <w:b/>
                <w:sz w:val="16"/>
                <w:szCs w:val="16"/>
              </w:rPr>
            </w:pPr>
          </w:p>
          <w:p w14:paraId="4B05434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УДгп =  0,5 х УДПгп + 0.5 х УДпрцч х kпрцч</w:t>
            </w:r>
          </w:p>
        </w:tc>
      </w:tr>
    </w:tbl>
    <w:p w14:paraId="46B22AF5">
      <w:pPr>
        <w:rPr>
          <w:sz w:val="28"/>
          <w:szCs w:val="28"/>
        </w:rPr>
      </w:pPr>
    </w:p>
    <w:p w14:paraId="1FF6BD7C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>где:</w:t>
      </w:r>
    </w:p>
    <w:p w14:paraId="3F4E42D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>УДгп – уровень достижения реализации государственной программы;</w:t>
      </w:r>
    </w:p>
    <w:p w14:paraId="078C4D2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>УДПгп – уровень достижения показателей государственной программы;</w:t>
      </w:r>
    </w:p>
    <w:p w14:paraId="40782B7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>УДпрцч – уровень достижения реализации процессной части государственной программы;</w:t>
      </w:r>
    </w:p>
    <w:p w14:paraId="6988D36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kпрцч – коэффициент значимости комплекса процессных мероприятий в процесной части государственной программы, который рассчитан по следующей формуле:</w:t>
      </w:r>
    </w:p>
    <w:p w14:paraId="246A198B">
      <w:pPr>
        <w:ind w:firstLine="709"/>
        <w:rPr>
          <w:sz w:val="16"/>
          <w:szCs w:val="16"/>
        </w:rPr>
      </w:pPr>
    </w:p>
    <w:p w14:paraId="5C389798">
      <w:pPr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>kпрцч = Фпрцч/Ф</w:t>
      </w:r>
    </w:p>
    <w:p w14:paraId="1C2CB642">
      <w:pPr>
        <w:ind w:firstLine="709"/>
        <w:rPr>
          <w:sz w:val="16"/>
          <w:szCs w:val="16"/>
        </w:rPr>
      </w:pPr>
    </w:p>
    <w:p w14:paraId="7511211E">
      <w:pPr>
        <w:ind w:firstLine="709"/>
        <w:rPr>
          <w:sz w:val="28"/>
          <w:szCs w:val="28"/>
        </w:rPr>
      </w:pPr>
      <w:r>
        <w:rPr>
          <w:sz w:val="28"/>
          <w:szCs w:val="28"/>
        </w:rPr>
        <w:t>где:</w:t>
      </w:r>
    </w:p>
    <w:p w14:paraId="11C7FFB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Фпрцч – объем фактических расходов из областного бюджета (с учетом межбюджетных трансфертов из федерального бюджета) (кассового исполнения) на реализацию процессной части государственной программы в отчетном году;</w:t>
      </w:r>
    </w:p>
    <w:p w14:paraId="0A95C7D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 – объем фактических расходов из областного бюджета (с учетом межбюджетных трансфертов из федерального бюджета) (кассового исполнения) на реализацию государственной программы в отчетном году</w:t>
      </w:r>
    </w:p>
    <w:p w14:paraId="1EDD46D4">
      <w:pPr>
        <w:jc w:val="both"/>
        <w:rPr>
          <w:sz w:val="28"/>
          <w:szCs w:val="28"/>
        </w:rPr>
      </w:pPr>
    </w:p>
    <w:p w14:paraId="1C3F35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УДгп = 0,5 х 1+ 0,5 х </w:t>
      </w:r>
      <w:r>
        <w:rPr>
          <w:sz w:val="28"/>
          <w:szCs w:val="28"/>
          <w:lang w:val="en-US"/>
        </w:rPr>
        <w:t>1</w:t>
      </w:r>
      <w:r>
        <w:rPr>
          <w:sz w:val="28"/>
          <w:szCs w:val="28"/>
        </w:rPr>
        <w:t>х</w:t>
      </w:r>
      <w:r>
        <w:rPr>
          <w:sz w:val="28"/>
          <w:szCs w:val="28"/>
          <w:lang w:val="en-US"/>
        </w:rPr>
        <w:t>(</w:t>
      </w:r>
      <w:r>
        <w:rPr>
          <w:sz w:val="28"/>
          <w:szCs w:val="28"/>
        </w:rPr>
        <w:t>206184,698/206190,800)  = 1,0.</w:t>
      </w:r>
    </w:p>
    <w:p w14:paraId="7ED75C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Эффективность реализации государственной программы оценена в зависимости от оценки степени реализации государственной программы и оценки эффективности реализации входящих в нее комплексов процессных мероприятий. Значение показателя составило 1,0.</w:t>
      </w:r>
    </w:p>
    <w:p w14:paraId="31CED9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связи с достижением высокого показателя эффективности и результативности реализации государственной программы Курской области «Реализация государственной политики в сфере печати и массовой информации в Курской области» и с учетом корректировки  периода реализации  государственной программы до 2030 года, необходимо  продолжить работу по достижению целей и решению задач государственной программы в целом.</w:t>
      </w:r>
    </w:p>
    <w:sectPr>
      <w:headerReference r:id="rId3" w:type="default"/>
      <w:headerReference r:id="rId4" w:type="even"/>
      <w:pgSz w:w="11906" w:h="16838"/>
      <w:pgMar w:top="1134" w:right="1134" w:bottom="1134" w:left="1701" w:header="709" w:footer="709" w:gutter="0"/>
      <w:cols w:space="720" w:num="1"/>
      <w:titlePg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Calibri">
    <w:panose1 w:val="020F0502020204030204"/>
    <w:charset w:val="CC"/>
    <w:family w:val="swiss"/>
    <w:pitch w:val="default"/>
    <w:sig w:usb0="E00002FF" w:usb1="4000ACFF" w:usb2="00000001" w:usb3="00000000" w:csb0="2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3BA5D1">
    <w:pPr>
      <w:pStyle w:val="7"/>
      <w:framePr w:wrap="around" w:vAnchor="text" w:hAnchor="margin" w:xAlign="center" w:y="1"/>
      <w:rPr>
        <w:rStyle w:val="4"/>
      </w:rPr>
    </w:pPr>
    <w:r>
      <w:rPr>
        <w:rStyle w:val="4"/>
      </w:rPr>
      <w:fldChar w:fldCharType="begin"/>
    </w:r>
    <w:r>
      <w:rPr>
        <w:rStyle w:val="4"/>
      </w:rPr>
      <w:instrText xml:space="preserve">PAGE  </w:instrText>
    </w:r>
    <w:r>
      <w:rPr>
        <w:rStyle w:val="4"/>
      </w:rPr>
      <w:fldChar w:fldCharType="separate"/>
    </w:r>
    <w:r>
      <w:rPr>
        <w:rStyle w:val="4"/>
        <w:lang/>
      </w:rPr>
      <w:t>15</w:t>
    </w:r>
    <w:r>
      <w:rPr>
        <w:rStyle w:val="4"/>
      </w:rPr>
      <w:fldChar w:fldCharType="end"/>
    </w:r>
  </w:p>
  <w:p w14:paraId="75EFE5A2">
    <w:pPr>
      <w:pStyle w:val="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E4D4BA">
    <w:pPr>
      <w:pStyle w:val="7"/>
      <w:framePr w:wrap="around" w:vAnchor="text" w:hAnchor="margin" w:xAlign="center" w:y="1"/>
      <w:rPr>
        <w:rStyle w:val="4"/>
      </w:rPr>
    </w:pPr>
    <w:r>
      <w:rPr>
        <w:rStyle w:val="4"/>
      </w:rPr>
      <w:fldChar w:fldCharType="begin"/>
    </w:r>
    <w:r>
      <w:rPr>
        <w:rStyle w:val="4"/>
      </w:rPr>
      <w:instrText xml:space="preserve">PAGE  </w:instrText>
    </w:r>
    <w:r>
      <w:rPr>
        <w:rStyle w:val="4"/>
      </w:rPr>
      <w:fldChar w:fldCharType="separate"/>
    </w:r>
    <w:r>
      <w:rPr>
        <w:rStyle w:val="4"/>
        <w:lang/>
      </w:rPr>
      <w:t>5</w:t>
    </w:r>
    <w:r>
      <w:rPr>
        <w:rStyle w:val="4"/>
      </w:rPr>
      <w:fldChar w:fldCharType="end"/>
    </w:r>
  </w:p>
  <w:p w14:paraId="66594AD4">
    <w:pPr>
      <w:pStyle w:val="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E46D93"/>
    <w:multiLevelType w:val="multilevel"/>
    <w:tmpl w:val="1DE46D93"/>
    <w:lvl w:ilvl="0" w:tentative="0">
      <w:start w:val="1"/>
      <w:numFmt w:val="decimal"/>
      <w:lvlText w:val="%1)"/>
      <w:lvlJc w:val="left"/>
      <w:pPr>
        <w:ind w:left="720" w:hanging="360"/>
      </w:pPr>
    </w:lvl>
    <w:lvl w:ilvl="1" w:tentative="0">
      <w:start w:val="1"/>
      <w:numFmt w:val="russianLower"/>
      <w:lvlText w:val="%2)"/>
      <w:lvlJc w:val="left"/>
      <w:pPr>
        <w:ind w:left="1440" w:hanging="360"/>
      </w:pPr>
    </w:lvl>
    <w:lvl w:ilvl="2" w:tentative="0">
      <w:start w:val="1"/>
      <w:numFmt w:val="lowerRoman"/>
      <w:lvlText w:val="%3)"/>
      <w:lvlJc w:val="right"/>
      <w:pPr>
        <w:ind w:left="2160" w:hanging="360"/>
      </w:pPr>
    </w:lvl>
    <w:lvl w:ilvl="3" w:tentative="0">
      <w:start w:val="1"/>
      <w:numFmt w:val="decimal"/>
      <w:lvlText w:val="%4)"/>
      <w:lvlJc w:val="left"/>
      <w:pPr>
        <w:ind w:left="2880" w:hanging="360"/>
      </w:pPr>
    </w:lvl>
    <w:lvl w:ilvl="4" w:tentative="0">
      <w:start w:val="1"/>
      <w:numFmt w:val="russianLower"/>
      <w:lvlText w:val="%5)"/>
      <w:lvlJc w:val="left"/>
      <w:pPr>
        <w:ind w:left="3600" w:hanging="360"/>
      </w:pPr>
    </w:lvl>
    <w:lvl w:ilvl="5" w:tentative="0">
      <w:start w:val="1"/>
      <w:numFmt w:val="lowerRoman"/>
      <w:lvlText w:val="%6)"/>
      <w:lvlJc w:val="right"/>
      <w:pPr>
        <w:ind w:left="4320" w:hanging="36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russianLow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360"/>
      </w:pPr>
    </w:lvl>
  </w:abstractNum>
  <w:abstractNum w:abstractNumId="1">
    <w:nsid w:val="1F65119E"/>
    <w:multiLevelType w:val="multilevel"/>
    <w:tmpl w:val="1F65119E"/>
    <w:lvl w:ilvl="0" w:tentative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entative="0">
      <w:start w:val="4"/>
      <w:numFmt w:val="decimal"/>
      <w:isLgl/>
      <w:lvlText w:val="%1.%2."/>
      <w:lvlJc w:val="left"/>
      <w:pPr>
        <w:ind w:left="1579" w:hanging="870"/>
      </w:pPr>
      <w:rPr>
        <w:rFonts w:hint="default"/>
      </w:rPr>
    </w:lvl>
    <w:lvl w:ilvl="2" w:tentative="0">
      <w:start w:val="2"/>
      <w:numFmt w:val="decimal"/>
      <w:isLgl/>
      <w:lvlText w:val="%1.%2.%3."/>
      <w:lvlJc w:val="left"/>
      <w:pPr>
        <w:ind w:left="1579" w:hanging="870"/>
      </w:pPr>
      <w:rPr>
        <w:rFonts w:hint="default"/>
      </w:rPr>
    </w:lvl>
    <w:lvl w:ilvl="3" w:tentative="0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 w:tentative="0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 w:tentative="0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 w:tentative="0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 w:tentative="0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 w:tentative="0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28B9722B"/>
    <w:multiLevelType w:val="multilevel"/>
    <w:tmpl w:val="28B9722B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3451150"/>
    <w:multiLevelType w:val="multilevel"/>
    <w:tmpl w:val="63451150"/>
    <w:lvl w:ilvl="0" w:tentative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ind w:left="3045" w:hanging="720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5370" w:hanging="720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8055" w:hanging="108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10380" w:hanging="1080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3065" w:hanging="1440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5750" w:hanging="1800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8075" w:hanging="1800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20760" w:hanging="216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08"/>
  <w:hyphenationZone w:val="357"/>
  <w:displayHorizontalDrawingGridEvery w:val="1"/>
  <w:displayVerticalDrawingGridEvery w:val="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12DF"/>
    <w:rsid w:val="000007CB"/>
    <w:rsid w:val="00000CDB"/>
    <w:rsid w:val="00001CCB"/>
    <w:rsid w:val="000020F4"/>
    <w:rsid w:val="0000217E"/>
    <w:rsid w:val="00002995"/>
    <w:rsid w:val="00002A5E"/>
    <w:rsid w:val="00002CBF"/>
    <w:rsid w:val="00002CE8"/>
    <w:rsid w:val="000039F7"/>
    <w:rsid w:val="0000437C"/>
    <w:rsid w:val="000049C2"/>
    <w:rsid w:val="000051E5"/>
    <w:rsid w:val="00006255"/>
    <w:rsid w:val="000062D9"/>
    <w:rsid w:val="00006642"/>
    <w:rsid w:val="00007FA4"/>
    <w:rsid w:val="0001034C"/>
    <w:rsid w:val="00011581"/>
    <w:rsid w:val="00011965"/>
    <w:rsid w:val="00011F1F"/>
    <w:rsid w:val="00012418"/>
    <w:rsid w:val="00012CB5"/>
    <w:rsid w:val="00012DFB"/>
    <w:rsid w:val="00012FAE"/>
    <w:rsid w:val="00013A17"/>
    <w:rsid w:val="00015548"/>
    <w:rsid w:val="00016CC2"/>
    <w:rsid w:val="00020582"/>
    <w:rsid w:val="00021DDA"/>
    <w:rsid w:val="00022522"/>
    <w:rsid w:val="000252E8"/>
    <w:rsid w:val="000253B7"/>
    <w:rsid w:val="00027674"/>
    <w:rsid w:val="00027B38"/>
    <w:rsid w:val="00027D8D"/>
    <w:rsid w:val="000309EE"/>
    <w:rsid w:val="00030D9B"/>
    <w:rsid w:val="00031479"/>
    <w:rsid w:val="00032784"/>
    <w:rsid w:val="00032AE2"/>
    <w:rsid w:val="00034848"/>
    <w:rsid w:val="000356D4"/>
    <w:rsid w:val="0003731C"/>
    <w:rsid w:val="00037B0B"/>
    <w:rsid w:val="00040DC0"/>
    <w:rsid w:val="000414CB"/>
    <w:rsid w:val="00042AD1"/>
    <w:rsid w:val="00042B40"/>
    <w:rsid w:val="00043A0E"/>
    <w:rsid w:val="00043A61"/>
    <w:rsid w:val="00045C89"/>
    <w:rsid w:val="00046867"/>
    <w:rsid w:val="00046A0D"/>
    <w:rsid w:val="000477CD"/>
    <w:rsid w:val="00047BB5"/>
    <w:rsid w:val="00047F9E"/>
    <w:rsid w:val="00051309"/>
    <w:rsid w:val="00051844"/>
    <w:rsid w:val="000523B2"/>
    <w:rsid w:val="000540F5"/>
    <w:rsid w:val="00054381"/>
    <w:rsid w:val="00054A94"/>
    <w:rsid w:val="00055C34"/>
    <w:rsid w:val="00055FD5"/>
    <w:rsid w:val="000561B9"/>
    <w:rsid w:val="000562A0"/>
    <w:rsid w:val="00060C2E"/>
    <w:rsid w:val="00062655"/>
    <w:rsid w:val="0006337B"/>
    <w:rsid w:val="00063AD0"/>
    <w:rsid w:val="000647C6"/>
    <w:rsid w:val="00065F0F"/>
    <w:rsid w:val="0006632B"/>
    <w:rsid w:val="00066BA2"/>
    <w:rsid w:val="000737D0"/>
    <w:rsid w:val="0007481C"/>
    <w:rsid w:val="000758E4"/>
    <w:rsid w:val="0007708C"/>
    <w:rsid w:val="000773B7"/>
    <w:rsid w:val="00081B18"/>
    <w:rsid w:val="0008479B"/>
    <w:rsid w:val="000854B0"/>
    <w:rsid w:val="00085746"/>
    <w:rsid w:val="00085DAD"/>
    <w:rsid w:val="00087F2C"/>
    <w:rsid w:val="0009018D"/>
    <w:rsid w:val="000934E1"/>
    <w:rsid w:val="0009506D"/>
    <w:rsid w:val="00095E0C"/>
    <w:rsid w:val="00097301"/>
    <w:rsid w:val="00097B1C"/>
    <w:rsid w:val="00097D34"/>
    <w:rsid w:val="000A010B"/>
    <w:rsid w:val="000A0181"/>
    <w:rsid w:val="000A0C8C"/>
    <w:rsid w:val="000A145E"/>
    <w:rsid w:val="000A2A16"/>
    <w:rsid w:val="000A2AF3"/>
    <w:rsid w:val="000A3E6E"/>
    <w:rsid w:val="000A3EB4"/>
    <w:rsid w:val="000A4025"/>
    <w:rsid w:val="000A559A"/>
    <w:rsid w:val="000A5BC9"/>
    <w:rsid w:val="000A5D1A"/>
    <w:rsid w:val="000A676C"/>
    <w:rsid w:val="000A6887"/>
    <w:rsid w:val="000A6D23"/>
    <w:rsid w:val="000A760B"/>
    <w:rsid w:val="000B0C3B"/>
    <w:rsid w:val="000B1991"/>
    <w:rsid w:val="000B2353"/>
    <w:rsid w:val="000B264F"/>
    <w:rsid w:val="000B422D"/>
    <w:rsid w:val="000B62D7"/>
    <w:rsid w:val="000B6E55"/>
    <w:rsid w:val="000C015A"/>
    <w:rsid w:val="000C1130"/>
    <w:rsid w:val="000C1BA8"/>
    <w:rsid w:val="000C2D20"/>
    <w:rsid w:val="000C3A54"/>
    <w:rsid w:val="000C3C50"/>
    <w:rsid w:val="000C42CF"/>
    <w:rsid w:val="000C46B4"/>
    <w:rsid w:val="000C4DD5"/>
    <w:rsid w:val="000C565C"/>
    <w:rsid w:val="000C6F91"/>
    <w:rsid w:val="000C7619"/>
    <w:rsid w:val="000C778C"/>
    <w:rsid w:val="000D0824"/>
    <w:rsid w:val="000D2EDB"/>
    <w:rsid w:val="000D3270"/>
    <w:rsid w:val="000D4DCD"/>
    <w:rsid w:val="000E11AF"/>
    <w:rsid w:val="000E177E"/>
    <w:rsid w:val="000E68B9"/>
    <w:rsid w:val="000E76C3"/>
    <w:rsid w:val="000E7CA1"/>
    <w:rsid w:val="000F0EB1"/>
    <w:rsid w:val="000F0FE6"/>
    <w:rsid w:val="000F23E3"/>
    <w:rsid w:val="000F55F9"/>
    <w:rsid w:val="000F67BE"/>
    <w:rsid w:val="000F6D69"/>
    <w:rsid w:val="000F78B1"/>
    <w:rsid w:val="000F7B97"/>
    <w:rsid w:val="000F7DA4"/>
    <w:rsid w:val="00102C6B"/>
    <w:rsid w:val="00105AC4"/>
    <w:rsid w:val="00110E3F"/>
    <w:rsid w:val="001114BF"/>
    <w:rsid w:val="00112413"/>
    <w:rsid w:val="001128FB"/>
    <w:rsid w:val="00113305"/>
    <w:rsid w:val="001149F7"/>
    <w:rsid w:val="0011500E"/>
    <w:rsid w:val="00115689"/>
    <w:rsid w:val="001160C3"/>
    <w:rsid w:val="00116D51"/>
    <w:rsid w:val="0011731D"/>
    <w:rsid w:val="00117445"/>
    <w:rsid w:val="00121B0D"/>
    <w:rsid w:val="00121F56"/>
    <w:rsid w:val="001244EC"/>
    <w:rsid w:val="00124B29"/>
    <w:rsid w:val="00124CAE"/>
    <w:rsid w:val="001264F2"/>
    <w:rsid w:val="00126EF7"/>
    <w:rsid w:val="00127620"/>
    <w:rsid w:val="00127643"/>
    <w:rsid w:val="00131C32"/>
    <w:rsid w:val="0013329D"/>
    <w:rsid w:val="0013388F"/>
    <w:rsid w:val="001346A9"/>
    <w:rsid w:val="00141451"/>
    <w:rsid w:val="00141DC4"/>
    <w:rsid w:val="001434F8"/>
    <w:rsid w:val="001436F1"/>
    <w:rsid w:val="001450BD"/>
    <w:rsid w:val="0014586C"/>
    <w:rsid w:val="00146D9A"/>
    <w:rsid w:val="00146FC9"/>
    <w:rsid w:val="001471CF"/>
    <w:rsid w:val="001507A7"/>
    <w:rsid w:val="0015119A"/>
    <w:rsid w:val="001525C9"/>
    <w:rsid w:val="001529DC"/>
    <w:rsid w:val="00154A7F"/>
    <w:rsid w:val="001553A0"/>
    <w:rsid w:val="00155A00"/>
    <w:rsid w:val="00155BA0"/>
    <w:rsid w:val="0015664A"/>
    <w:rsid w:val="00156877"/>
    <w:rsid w:val="00160AC5"/>
    <w:rsid w:val="00160AE0"/>
    <w:rsid w:val="00160F56"/>
    <w:rsid w:val="00162944"/>
    <w:rsid w:val="00164822"/>
    <w:rsid w:val="00165C19"/>
    <w:rsid w:val="001702EA"/>
    <w:rsid w:val="0017039A"/>
    <w:rsid w:val="00172A8B"/>
    <w:rsid w:val="00172B4B"/>
    <w:rsid w:val="001734FA"/>
    <w:rsid w:val="00174795"/>
    <w:rsid w:val="00174EB4"/>
    <w:rsid w:val="00183EBC"/>
    <w:rsid w:val="001845D7"/>
    <w:rsid w:val="00184E86"/>
    <w:rsid w:val="00185504"/>
    <w:rsid w:val="001855AF"/>
    <w:rsid w:val="00185602"/>
    <w:rsid w:val="00185DC3"/>
    <w:rsid w:val="00186090"/>
    <w:rsid w:val="00187858"/>
    <w:rsid w:val="00187998"/>
    <w:rsid w:val="0019066C"/>
    <w:rsid w:val="00190B64"/>
    <w:rsid w:val="0019197C"/>
    <w:rsid w:val="00192629"/>
    <w:rsid w:val="00192D79"/>
    <w:rsid w:val="0019319E"/>
    <w:rsid w:val="00195C7C"/>
    <w:rsid w:val="00196D02"/>
    <w:rsid w:val="001A1396"/>
    <w:rsid w:val="001A1929"/>
    <w:rsid w:val="001A253B"/>
    <w:rsid w:val="001A3BFA"/>
    <w:rsid w:val="001A4582"/>
    <w:rsid w:val="001A49B7"/>
    <w:rsid w:val="001A539D"/>
    <w:rsid w:val="001A6DD6"/>
    <w:rsid w:val="001A719B"/>
    <w:rsid w:val="001A79ED"/>
    <w:rsid w:val="001B34C1"/>
    <w:rsid w:val="001B5D1B"/>
    <w:rsid w:val="001B7266"/>
    <w:rsid w:val="001B7BCF"/>
    <w:rsid w:val="001C0FFA"/>
    <w:rsid w:val="001C149F"/>
    <w:rsid w:val="001C19E5"/>
    <w:rsid w:val="001C25F1"/>
    <w:rsid w:val="001C275D"/>
    <w:rsid w:val="001C30D8"/>
    <w:rsid w:val="001C34F5"/>
    <w:rsid w:val="001C3781"/>
    <w:rsid w:val="001C3947"/>
    <w:rsid w:val="001C4511"/>
    <w:rsid w:val="001C5875"/>
    <w:rsid w:val="001C5D71"/>
    <w:rsid w:val="001C7F23"/>
    <w:rsid w:val="001D0BE5"/>
    <w:rsid w:val="001D2741"/>
    <w:rsid w:val="001D3FF1"/>
    <w:rsid w:val="001D4224"/>
    <w:rsid w:val="001D4A16"/>
    <w:rsid w:val="001D581F"/>
    <w:rsid w:val="001D6FCC"/>
    <w:rsid w:val="001D78CB"/>
    <w:rsid w:val="001D78DA"/>
    <w:rsid w:val="001E0CFA"/>
    <w:rsid w:val="001E23E6"/>
    <w:rsid w:val="001E2738"/>
    <w:rsid w:val="001E3D1F"/>
    <w:rsid w:val="001E40A2"/>
    <w:rsid w:val="001E50CF"/>
    <w:rsid w:val="001E5440"/>
    <w:rsid w:val="001F048B"/>
    <w:rsid w:val="001F0E8B"/>
    <w:rsid w:val="001F15F0"/>
    <w:rsid w:val="001F1B1E"/>
    <w:rsid w:val="001F34EE"/>
    <w:rsid w:val="001F3855"/>
    <w:rsid w:val="001F4526"/>
    <w:rsid w:val="001F4C22"/>
    <w:rsid w:val="001F5774"/>
    <w:rsid w:val="001F5858"/>
    <w:rsid w:val="001F5F18"/>
    <w:rsid w:val="001F6027"/>
    <w:rsid w:val="001F6201"/>
    <w:rsid w:val="001F666E"/>
    <w:rsid w:val="001F6F33"/>
    <w:rsid w:val="001F7CA3"/>
    <w:rsid w:val="001F7D08"/>
    <w:rsid w:val="001F7E10"/>
    <w:rsid w:val="001F7EC2"/>
    <w:rsid w:val="002019B1"/>
    <w:rsid w:val="002025F9"/>
    <w:rsid w:val="00202768"/>
    <w:rsid w:val="002036DF"/>
    <w:rsid w:val="00206130"/>
    <w:rsid w:val="00210100"/>
    <w:rsid w:val="002112B8"/>
    <w:rsid w:val="0021218C"/>
    <w:rsid w:val="002124AA"/>
    <w:rsid w:val="0021560A"/>
    <w:rsid w:val="002164BB"/>
    <w:rsid w:val="002166EE"/>
    <w:rsid w:val="0021684B"/>
    <w:rsid w:val="00220D4A"/>
    <w:rsid w:val="002222A6"/>
    <w:rsid w:val="002225F5"/>
    <w:rsid w:val="002231F7"/>
    <w:rsid w:val="0022375B"/>
    <w:rsid w:val="002249E6"/>
    <w:rsid w:val="00226154"/>
    <w:rsid w:val="00230841"/>
    <w:rsid w:val="0023220E"/>
    <w:rsid w:val="00232374"/>
    <w:rsid w:val="00232D1B"/>
    <w:rsid w:val="00232DEE"/>
    <w:rsid w:val="00234A4C"/>
    <w:rsid w:val="002379FE"/>
    <w:rsid w:val="00237D84"/>
    <w:rsid w:val="002406CC"/>
    <w:rsid w:val="00242586"/>
    <w:rsid w:val="0024362E"/>
    <w:rsid w:val="00243D5C"/>
    <w:rsid w:val="00244A68"/>
    <w:rsid w:val="002462F4"/>
    <w:rsid w:val="00246904"/>
    <w:rsid w:val="002469EB"/>
    <w:rsid w:val="00250467"/>
    <w:rsid w:val="002519C6"/>
    <w:rsid w:val="00252438"/>
    <w:rsid w:val="00252AD3"/>
    <w:rsid w:val="00253344"/>
    <w:rsid w:val="00255816"/>
    <w:rsid w:val="00256607"/>
    <w:rsid w:val="002572E8"/>
    <w:rsid w:val="00257366"/>
    <w:rsid w:val="00260D0A"/>
    <w:rsid w:val="002615C7"/>
    <w:rsid w:val="00261D5A"/>
    <w:rsid w:val="0026226C"/>
    <w:rsid w:val="00265C84"/>
    <w:rsid w:val="0026655D"/>
    <w:rsid w:val="0026656D"/>
    <w:rsid w:val="0026740E"/>
    <w:rsid w:val="00267F0B"/>
    <w:rsid w:val="00270DBE"/>
    <w:rsid w:val="00272261"/>
    <w:rsid w:val="00273F27"/>
    <w:rsid w:val="002749A6"/>
    <w:rsid w:val="0027601E"/>
    <w:rsid w:val="00276196"/>
    <w:rsid w:val="00280291"/>
    <w:rsid w:val="00280842"/>
    <w:rsid w:val="00281D2A"/>
    <w:rsid w:val="002822C0"/>
    <w:rsid w:val="00282E1A"/>
    <w:rsid w:val="00283022"/>
    <w:rsid w:val="002837E2"/>
    <w:rsid w:val="00285AE0"/>
    <w:rsid w:val="00287E6F"/>
    <w:rsid w:val="00292CE2"/>
    <w:rsid w:val="00293C59"/>
    <w:rsid w:val="00293F66"/>
    <w:rsid w:val="00295815"/>
    <w:rsid w:val="00295904"/>
    <w:rsid w:val="00295AF4"/>
    <w:rsid w:val="002A21A8"/>
    <w:rsid w:val="002A2FE4"/>
    <w:rsid w:val="002A32A3"/>
    <w:rsid w:val="002A44D8"/>
    <w:rsid w:val="002A59AD"/>
    <w:rsid w:val="002A6609"/>
    <w:rsid w:val="002A725C"/>
    <w:rsid w:val="002A7268"/>
    <w:rsid w:val="002B0347"/>
    <w:rsid w:val="002B4538"/>
    <w:rsid w:val="002B4F06"/>
    <w:rsid w:val="002B5715"/>
    <w:rsid w:val="002B6CB1"/>
    <w:rsid w:val="002C0C96"/>
    <w:rsid w:val="002C1376"/>
    <w:rsid w:val="002C1672"/>
    <w:rsid w:val="002C1F43"/>
    <w:rsid w:val="002C2424"/>
    <w:rsid w:val="002C272B"/>
    <w:rsid w:val="002C30C2"/>
    <w:rsid w:val="002C3A81"/>
    <w:rsid w:val="002C4637"/>
    <w:rsid w:val="002C48F9"/>
    <w:rsid w:val="002C55A4"/>
    <w:rsid w:val="002C64DC"/>
    <w:rsid w:val="002C7032"/>
    <w:rsid w:val="002C78AF"/>
    <w:rsid w:val="002D1347"/>
    <w:rsid w:val="002D322C"/>
    <w:rsid w:val="002D356F"/>
    <w:rsid w:val="002D362F"/>
    <w:rsid w:val="002D4595"/>
    <w:rsid w:val="002D5296"/>
    <w:rsid w:val="002D566B"/>
    <w:rsid w:val="002D7796"/>
    <w:rsid w:val="002D788F"/>
    <w:rsid w:val="002E0738"/>
    <w:rsid w:val="002E07CA"/>
    <w:rsid w:val="002E0EEF"/>
    <w:rsid w:val="002E1A92"/>
    <w:rsid w:val="002E271A"/>
    <w:rsid w:val="002E2E86"/>
    <w:rsid w:val="002E4EA5"/>
    <w:rsid w:val="002E4F2D"/>
    <w:rsid w:val="002E4F5C"/>
    <w:rsid w:val="002E5E60"/>
    <w:rsid w:val="002E5F86"/>
    <w:rsid w:val="002E6E6F"/>
    <w:rsid w:val="002E7F92"/>
    <w:rsid w:val="002F0140"/>
    <w:rsid w:val="002F065D"/>
    <w:rsid w:val="002F10D5"/>
    <w:rsid w:val="002F3913"/>
    <w:rsid w:val="002F4EF6"/>
    <w:rsid w:val="002F5E1B"/>
    <w:rsid w:val="002F789D"/>
    <w:rsid w:val="00300AFD"/>
    <w:rsid w:val="00300B0B"/>
    <w:rsid w:val="00300B61"/>
    <w:rsid w:val="00301197"/>
    <w:rsid w:val="003023F6"/>
    <w:rsid w:val="00302B78"/>
    <w:rsid w:val="00302FB4"/>
    <w:rsid w:val="003042AC"/>
    <w:rsid w:val="00304743"/>
    <w:rsid w:val="00304CAE"/>
    <w:rsid w:val="0030573B"/>
    <w:rsid w:val="0030665E"/>
    <w:rsid w:val="00306A7B"/>
    <w:rsid w:val="00312C5F"/>
    <w:rsid w:val="00312EA2"/>
    <w:rsid w:val="00317408"/>
    <w:rsid w:val="00320633"/>
    <w:rsid w:val="00321364"/>
    <w:rsid w:val="0032161E"/>
    <w:rsid w:val="003219B6"/>
    <w:rsid w:val="00321F5C"/>
    <w:rsid w:val="00325C06"/>
    <w:rsid w:val="00327AE8"/>
    <w:rsid w:val="003329E0"/>
    <w:rsid w:val="003332B0"/>
    <w:rsid w:val="003337B3"/>
    <w:rsid w:val="0033394C"/>
    <w:rsid w:val="003358F7"/>
    <w:rsid w:val="00335D7E"/>
    <w:rsid w:val="00336521"/>
    <w:rsid w:val="003367A1"/>
    <w:rsid w:val="003378E1"/>
    <w:rsid w:val="00337AFD"/>
    <w:rsid w:val="00337E52"/>
    <w:rsid w:val="00340160"/>
    <w:rsid w:val="003424EC"/>
    <w:rsid w:val="00343E9F"/>
    <w:rsid w:val="0034400C"/>
    <w:rsid w:val="003461E1"/>
    <w:rsid w:val="00346E75"/>
    <w:rsid w:val="0034751B"/>
    <w:rsid w:val="00347662"/>
    <w:rsid w:val="0035054B"/>
    <w:rsid w:val="00350831"/>
    <w:rsid w:val="00350C70"/>
    <w:rsid w:val="00351537"/>
    <w:rsid w:val="00352372"/>
    <w:rsid w:val="0035267F"/>
    <w:rsid w:val="00353469"/>
    <w:rsid w:val="0035401A"/>
    <w:rsid w:val="0035554B"/>
    <w:rsid w:val="00355752"/>
    <w:rsid w:val="00356378"/>
    <w:rsid w:val="003569F6"/>
    <w:rsid w:val="003600CE"/>
    <w:rsid w:val="0036087F"/>
    <w:rsid w:val="003611B8"/>
    <w:rsid w:val="0036208E"/>
    <w:rsid w:val="003649F2"/>
    <w:rsid w:val="00364A21"/>
    <w:rsid w:val="003654EF"/>
    <w:rsid w:val="003654FE"/>
    <w:rsid w:val="00365A6E"/>
    <w:rsid w:val="00365E6A"/>
    <w:rsid w:val="00366B06"/>
    <w:rsid w:val="00370155"/>
    <w:rsid w:val="00370EE7"/>
    <w:rsid w:val="00372981"/>
    <w:rsid w:val="003736EC"/>
    <w:rsid w:val="00373D83"/>
    <w:rsid w:val="00373E4A"/>
    <w:rsid w:val="00375E36"/>
    <w:rsid w:val="00376757"/>
    <w:rsid w:val="003779E2"/>
    <w:rsid w:val="00380F9F"/>
    <w:rsid w:val="0038121C"/>
    <w:rsid w:val="00381CF3"/>
    <w:rsid w:val="0038332F"/>
    <w:rsid w:val="00384846"/>
    <w:rsid w:val="00384D1E"/>
    <w:rsid w:val="00384FC4"/>
    <w:rsid w:val="0038507E"/>
    <w:rsid w:val="00386359"/>
    <w:rsid w:val="00386FED"/>
    <w:rsid w:val="0038724A"/>
    <w:rsid w:val="003876DE"/>
    <w:rsid w:val="0039134F"/>
    <w:rsid w:val="00393CF8"/>
    <w:rsid w:val="00394416"/>
    <w:rsid w:val="00397399"/>
    <w:rsid w:val="003A032C"/>
    <w:rsid w:val="003A247E"/>
    <w:rsid w:val="003A2CD5"/>
    <w:rsid w:val="003A2D7C"/>
    <w:rsid w:val="003A55AD"/>
    <w:rsid w:val="003A5A40"/>
    <w:rsid w:val="003A6A9E"/>
    <w:rsid w:val="003A6B8C"/>
    <w:rsid w:val="003A7B3A"/>
    <w:rsid w:val="003B00A9"/>
    <w:rsid w:val="003B0F5E"/>
    <w:rsid w:val="003B0FDC"/>
    <w:rsid w:val="003B18E5"/>
    <w:rsid w:val="003B30C6"/>
    <w:rsid w:val="003B3FFB"/>
    <w:rsid w:val="003B51F0"/>
    <w:rsid w:val="003B548F"/>
    <w:rsid w:val="003C02F5"/>
    <w:rsid w:val="003C0BC0"/>
    <w:rsid w:val="003C29CF"/>
    <w:rsid w:val="003C3F45"/>
    <w:rsid w:val="003C43EE"/>
    <w:rsid w:val="003C5B62"/>
    <w:rsid w:val="003C6894"/>
    <w:rsid w:val="003C6BF9"/>
    <w:rsid w:val="003D2FEE"/>
    <w:rsid w:val="003D30B4"/>
    <w:rsid w:val="003D4CA1"/>
    <w:rsid w:val="003D4FC2"/>
    <w:rsid w:val="003D6472"/>
    <w:rsid w:val="003D6EBA"/>
    <w:rsid w:val="003E02E9"/>
    <w:rsid w:val="003E0EC1"/>
    <w:rsid w:val="003E3842"/>
    <w:rsid w:val="003E3BB1"/>
    <w:rsid w:val="003E45B8"/>
    <w:rsid w:val="003E4D8D"/>
    <w:rsid w:val="003E55BF"/>
    <w:rsid w:val="003E58AA"/>
    <w:rsid w:val="003E59E0"/>
    <w:rsid w:val="003E662F"/>
    <w:rsid w:val="003E66B0"/>
    <w:rsid w:val="003E6727"/>
    <w:rsid w:val="003F02C2"/>
    <w:rsid w:val="003F23DE"/>
    <w:rsid w:val="003F5A08"/>
    <w:rsid w:val="003F768D"/>
    <w:rsid w:val="00400734"/>
    <w:rsid w:val="00401F2E"/>
    <w:rsid w:val="00403B4B"/>
    <w:rsid w:val="0040463A"/>
    <w:rsid w:val="004049A2"/>
    <w:rsid w:val="00405129"/>
    <w:rsid w:val="00406111"/>
    <w:rsid w:val="004068C4"/>
    <w:rsid w:val="00411FE7"/>
    <w:rsid w:val="00413197"/>
    <w:rsid w:val="00413D26"/>
    <w:rsid w:val="00414079"/>
    <w:rsid w:val="0041512B"/>
    <w:rsid w:val="004151AF"/>
    <w:rsid w:val="0041568C"/>
    <w:rsid w:val="00417D6D"/>
    <w:rsid w:val="0042109E"/>
    <w:rsid w:val="004223A7"/>
    <w:rsid w:val="00423F6A"/>
    <w:rsid w:val="00423FB8"/>
    <w:rsid w:val="00424262"/>
    <w:rsid w:val="00424A6E"/>
    <w:rsid w:val="00424EA0"/>
    <w:rsid w:val="00425592"/>
    <w:rsid w:val="00425EE3"/>
    <w:rsid w:val="004266EF"/>
    <w:rsid w:val="004279C9"/>
    <w:rsid w:val="004309BD"/>
    <w:rsid w:val="00431C7C"/>
    <w:rsid w:val="004326DF"/>
    <w:rsid w:val="00433269"/>
    <w:rsid w:val="0043508E"/>
    <w:rsid w:val="00435B13"/>
    <w:rsid w:val="004360AC"/>
    <w:rsid w:val="00436785"/>
    <w:rsid w:val="00437119"/>
    <w:rsid w:val="00440C2E"/>
    <w:rsid w:val="00442236"/>
    <w:rsid w:val="00442E6E"/>
    <w:rsid w:val="0044349E"/>
    <w:rsid w:val="00443E3B"/>
    <w:rsid w:val="00444374"/>
    <w:rsid w:val="00445B8B"/>
    <w:rsid w:val="00445DC6"/>
    <w:rsid w:val="00445EE9"/>
    <w:rsid w:val="0044663B"/>
    <w:rsid w:val="004469D3"/>
    <w:rsid w:val="00446FD0"/>
    <w:rsid w:val="004477C1"/>
    <w:rsid w:val="00447F6E"/>
    <w:rsid w:val="00451A00"/>
    <w:rsid w:val="00452E30"/>
    <w:rsid w:val="004534CF"/>
    <w:rsid w:val="00453FE8"/>
    <w:rsid w:val="00454F6F"/>
    <w:rsid w:val="00456C8F"/>
    <w:rsid w:val="0046005A"/>
    <w:rsid w:val="004644E2"/>
    <w:rsid w:val="00465583"/>
    <w:rsid w:val="00466A10"/>
    <w:rsid w:val="00467652"/>
    <w:rsid w:val="004702B4"/>
    <w:rsid w:val="00470408"/>
    <w:rsid w:val="004725D9"/>
    <w:rsid w:val="004727BA"/>
    <w:rsid w:val="004748CF"/>
    <w:rsid w:val="00474C10"/>
    <w:rsid w:val="004763A5"/>
    <w:rsid w:val="00476402"/>
    <w:rsid w:val="004778A9"/>
    <w:rsid w:val="0048149B"/>
    <w:rsid w:val="00481CF8"/>
    <w:rsid w:val="00482042"/>
    <w:rsid w:val="00482711"/>
    <w:rsid w:val="00484BC7"/>
    <w:rsid w:val="004858DB"/>
    <w:rsid w:val="00485E3F"/>
    <w:rsid w:val="0048644E"/>
    <w:rsid w:val="00486B4E"/>
    <w:rsid w:val="00486F03"/>
    <w:rsid w:val="00487C0D"/>
    <w:rsid w:val="00487F1B"/>
    <w:rsid w:val="00492B63"/>
    <w:rsid w:val="00492D47"/>
    <w:rsid w:val="004934C4"/>
    <w:rsid w:val="0049376D"/>
    <w:rsid w:val="00493827"/>
    <w:rsid w:val="00493DD4"/>
    <w:rsid w:val="0049447A"/>
    <w:rsid w:val="00494F03"/>
    <w:rsid w:val="00494FCE"/>
    <w:rsid w:val="004958D6"/>
    <w:rsid w:val="00496803"/>
    <w:rsid w:val="00497B81"/>
    <w:rsid w:val="004A0AD3"/>
    <w:rsid w:val="004A43A2"/>
    <w:rsid w:val="004A4C5E"/>
    <w:rsid w:val="004B2E8F"/>
    <w:rsid w:val="004B39DD"/>
    <w:rsid w:val="004B5148"/>
    <w:rsid w:val="004B546A"/>
    <w:rsid w:val="004B5672"/>
    <w:rsid w:val="004B7C07"/>
    <w:rsid w:val="004C2C11"/>
    <w:rsid w:val="004C4C0D"/>
    <w:rsid w:val="004C4F46"/>
    <w:rsid w:val="004C634A"/>
    <w:rsid w:val="004C69A3"/>
    <w:rsid w:val="004D01F1"/>
    <w:rsid w:val="004D03EE"/>
    <w:rsid w:val="004D094F"/>
    <w:rsid w:val="004D2E72"/>
    <w:rsid w:val="004D3C60"/>
    <w:rsid w:val="004D54D6"/>
    <w:rsid w:val="004D64B1"/>
    <w:rsid w:val="004D650C"/>
    <w:rsid w:val="004D6F9F"/>
    <w:rsid w:val="004D7711"/>
    <w:rsid w:val="004D7818"/>
    <w:rsid w:val="004E0A51"/>
    <w:rsid w:val="004E37B6"/>
    <w:rsid w:val="004E43C8"/>
    <w:rsid w:val="004F09F0"/>
    <w:rsid w:val="004F0FE4"/>
    <w:rsid w:val="004F125C"/>
    <w:rsid w:val="00500168"/>
    <w:rsid w:val="005009AA"/>
    <w:rsid w:val="005009C0"/>
    <w:rsid w:val="00500B04"/>
    <w:rsid w:val="00501588"/>
    <w:rsid w:val="00507779"/>
    <w:rsid w:val="00507E11"/>
    <w:rsid w:val="0051181E"/>
    <w:rsid w:val="005119B1"/>
    <w:rsid w:val="0051374A"/>
    <w:rsid w:val="005139FD"/>
    <w:rsid w:val="00514960"/>
    <w:rsid w:val="00517619"/>
    <w:rsid w:val="0051781C"/>
    <w:rsid w:val="00520117"/>
    <w:rsid w:val="00520CB0"/>
    <w:rsid w:val="00520DFD"/>
    <w:rsid w:val="00521C15"/>
    <w:rsid w:val="00521D14"/>
    <w:rsid w:val="00525EB5"/>
    <w:rsid w:val="005267C8"/>
    <w:rsid w:val="00527760"/>
    <w:rsid w:val="00530179"/>
    <w:rsid w:val="0053172F"/>
    <w:rsid w:val="00533534"/>
    <w:rsid w:val="005346F9"/>
    <w:rsid w:val="00535A85"/>
    <w:rsid w:val="00537352"/>
    <w:rsid w:val="00537F96"/>
    <w:rsid w:val="00542B0E"/>
    <w:rsid w:val="00542E44"/>
    <w:rsid w:val="00542F87"/>
    <w:rsid w:val="005431A0"/>
    <w:rsid w:val="00543230"/>
    <w:rsid w:val="00543FB8"/>
    <w:rsid w:val="00545008"/>
    <w:rsid w:val="00546E67"/>
    <w:rsid w:val="00551227"/>
    <w:rsid w:val="00551341"/>
    <w:rsid w:val="00551F3E"/>
    <w:rsid w:val="00552A87"/>
    <w:rsid w:val="00552E46"/>
    <w:rsid w:val="00553816"/>
    <w:rsid w:val="00560DED"/>
    <w:rsid w:val="00560EFE"/>
    <w:rsid w:val="00561663"/>
    <w:rsid w:val="00561F98"/>
    <w:rsid w:val="005620D7"/>
    <w:rsid w:val="005627ED"/>
    <w:rsid w:val="00562C46"/>
    <w:rsid w:val="00563413"/>
    <w:rsid w:val="00565E26"/>
    <w:rsid w:val="00566584"/>
    <w:rsid w:val="00566B2C"/>
    <w:rsid w:val="005700B1"/>
    <w:rsid w:val="00570620"/>
    <w:rsid w:val="00570FE8"/>
    <w:rsid w:val="00572DA9"/>
    <w:rsid w:val="00573103"/>
    <w:rsid w:val="005746B3"/>
    <w:rsid w:val="005771CA"/>
    <w:rsid w:val="005802CE"/>
    <w:rsid w:val="00582DE0"/>
    <w:rsid w:val="00582E31"/>
    <w:rsid w:val="00584180"/>
    <w:rsid w:val="005842ED"/>
    <w:rsid w:val="005843FD"/>
    <w:rsid w:val="005851BB"/>
    <w:rsid w:val="005862B1"/>
    <w:rsid w:val="005862F9"/>
    <w:rsid w:val="00587DD7"/>
    <w:rsid w:val="005959C2"/>
    <w:rsid w:val="00595ABA"/>
    <w:rsid w:val="005A25CC"/>
    <w:rsid w:val="005A27A0"/>
    <w:rsid w:val="005A3C9F"/>
    <w:rsid w:val="005A69C5"/>
    <w:rsid w:val="005B0088"/>
    <w:rsid w:val="005B1196"/>
    <w:rsid w:val="005B1DF7"/>
    <w:rsid w:val="005B54DB"/>
    <w:rsid w:val="005B5A0B"/>
    <w:rsid w:val="005B6150"/>
    <w:rsid w:val="005B7309"/>
    <w:rsid w:val="005C31A9"/>
    <w:rsid w:val="005C35DC"/>
    <w:rsid w:val="005C3A98"/>
    <w:rsid w:val="005C411C"/>
    <w:rsid w:val="005C4898"/>
    <w:rsid w:val="005C5280"/>
    <w:rsid w:val="005C5E24"/>
    <w:rsid w:val="005C6836"/>
    <w:rsid w:val="005C6969"/>
    <w:rsid w:val="005C76B7"/>
    <w:rsid w:val="005C7D68"/>
    <w:rsid w:val="005C7DC0"/>
    <w:rsid w:val="005D0880"/>
    <w:rsid w:val="005D1DC0"/>
    <w:rsid w:val="005D337C"/>
    <w:rsid w:val="005D40DB"/>
    <w:rsid w:val="005D48B3"/>
    <w:rsid w:val="005D5506"/>
    <w:rsid w:val="005D553B"/>
    <w:rsid w:val="005D78F5"/>
    <w:rsid w:val="005D7B6C"/>
    <w:rsid w:val="005E0F20"/>
    <w:rsid w:val="005E150B"/>
    <w:rsid w:val="005E1FA5"/>
    <w:rsid w:val="005E23A8"/>
    <w:rsid w:val="005E2A56"/>
    <w:rsid w:val="005E2B70"/>
    <w:rsid w:val="005E420D"/>
    <w:rsid w:val="005E4F76"/>
    <w:rsid w:val="005E53DF"/>
    <w:rsid w:val="005F0E0A"/>
    <w:rsid w:val="005F12DF"/>
    <w:rsid w:val="005F2C5E"/>
    <w:rsid w:val="005F3B2E"/>
    <w:rsid w:val="005F44C1"/>
    <w:rsid w:val="005F4AEF"/>
    <w:rsid w:val="005F571E"/>
    <w:rsid w:val="005F5F86"/>
    <w:rsid w:val="005F66CC"/>
    <w:rsid w:val="00603B4E"/>
    <w:rsid w:val="00603FC1"/>
    <w:rsid w:val="006042FF"/>
    <w:rsid w:val="006054FA"/>
    <w:rsid w:val="00605878"/>
    <w:rsid w:val="00605C9B"/>
    <w:rsid w:val="00605EB6"/>
    <w:rsid w:val="00607BAD"/>
    <w:rsid w:val="00610FDF"/>
    <w:rsid w:val="00614234"/>
    <w:rsid w:val="00615003"/>
    <w:rsid w:val="00617A17"/>
    <w:rsid w:val="00621961"/>
    <w:rsid w:val="00621A64"/>
    <w:rsid w:val="006224B1"/>
    <w:rsid w:val="00622753"/>
    <w:rsid w:val="00623E92"/>
    <w:rsid w:val="006249A0"/>
    <w:rsid w:val="00625511"/>
    <w:rsid w:val="0062603A"/>
    <w:rsid w:val="00633C38"/>
    <w:rsid w:val="00634F4F"/>
    <w:rsid w:val="006363BA"/>
    <w:rsid w:val="006368AC"/>
    <w:rsid w:val="00636FBF"/>
    <w:rsid w:val="006375EF"/>
    <w:rsid w:val="006415A2"/>
    <w:rsid w:val="0064187F"/>
    <w:rsid w:val="00644A1B"/>
    <w:rsid w:val="00644A22"/>
    <w:rsid w:val="00644BDD"/>
    <w:rsid w:val="00644EE9"/>
    <w:rsid w:val="00646343"/>
    <w:rsid w:val="00646A08"/>
    <w:rsid w:val="00646C0C"/>
    <w:rsid w:val="00647A2D"/>
    <w:rsid w:val="006526D9"/>
    <w:rsid w:val="006549A6"/>
    <w:rsid w:val="00654BCF"/>
    <w:rsid w:val="0065536A"/>
    <w:rsid w:val="0065674D"/>
    <w:rsid w:val="0066283A"/>
    <w:rsid w:val="006632E6"/>
    <w:rsid w:val="00663F73"/>
    <w:rsid w:val="006642F0"/>
    <w:rsid w:val="00665AB5"/>
    <w:rsid w:val="00665E4C"/>
    <w:rsid w:val="00665F05"/>
    <w:rsid w:val="00666332"/>
    <w:rsid w:val="0067059B"/>
    <w:rsid w:val="00670F3B"/>
    <w:rsid w:val="006736FB"/>
    <w:rsid w:val="006759B3"/>
    <w:rsid w:val="00676EA5"/>
    <w:rsid w:val="006775F1"/>
    <w:rsid w:val="00677812"/>
    <w:rsid w:val="00677DEE"/>
    <w:rsid w:val="0068128B"/>
    <w:rsid w:val="0068148A"/>
    <w:rsid w:val="00681C51"/>
    <w:rsid w:val="00682D15"/>
    <w:rsid w:val="006843D2"/>
    <w:rsid w:val="00684CC4"/>
    <w:rsid w:val="00691898"/>
    <w:rsid w:val="006919D8"/>
    <w:rsid w:val="00692A7B"/>
    <w:rsid w:val="006932DD"/>
    <w:rsid w:val="00693A45"/>
    <w:rsid w:val="0069489D"/>
    <w:rsid w:val="00695BEC"/>
    <w:rsid w:val="00695C89"/>
    <w:rsid w:val="00696523"/>
    <w:rsid w:val="00696C01"/>
    <w:rsid w:val="006A056B"/>
    <w:rsid w:val="006A07DB"/>
    <w:rsid w:val="006A0FA1"/>
    <w:rsid w:val="006A1BB0"/>
    <w:rsid w:val="006A3CAD"/>
    <w:rsid w:val="006A4CAF"/>
    <w:rsid w:val="006A530A"/>
    <w:rsid w:val="006A5706"/>
    <w:rsid w:val="006A690D"/>
    <w:rsid w:val="006A6BDA"/>
    <w:rsid w:val="006B2110"/>
    <w:rsid w:val="006B433F"/>
    <w:rsid w:val="006B7525"/>
    <w:rsid w:val="006B7962"/>
    <w:rsid w:val="006C00D8"/>
    <w:rsid w:val="006C0238"/>
    <w:rsid w:val="006C03CF"/>
    <w:rsid w:val="006C0EAE"/>
    <w:rsid w:val="006C0F99"/>
    <w:rsid w:val="006C55D0"/>
    <w:rsid w:val="006C65BD"/>
    <w:rsid w:val="006C7B54"/>
    <w:rsid w:val="006D0D83"/>
    <w:rsid w:val="006D13E5"/>
    <w:rsid w:val="006D1EFF"/>
    <w:rsid w:val="006D4228"/>
    <w:rsid w:val="006D4C75"/>
    <w:rsid w:val="006D4D02"/>
    <w:rsid w:val="006D676D"/>
    <w:rsid w:val="006D6971"/>
    <w:rsid w:val="006D6FCA"/>
    <w:rsid w:val="006D70B4"/>
    <w:rsid w:val="006E04BF"/>
    <w:rsid w:val="006E05E7"/>
    <w:rsid w:val="006E164E"/>
    <w:rsid w:val="006E170E"/>
    <w:rsid w:val="006E18CC"/>
    <w:rsid w:val="006E1A89"/>
    <w:rsid w:val="006E2C65"/>
    <w:rsid w:val="006E30CF"/>
    <w:rsid w:val="006E3F84"/>
    <w:rsid w:val="006E4695"/>
    <w:rsid w:val="006E68B0"/>
    <w:rsid w:val="006E730D"/>
    <w:rsid w:val="006E7953"/>
    <w:rsid w:val="006F04DD"/>
    <w:rsid w:val="006F0AE5"/>
    <w:rsid w:val="006F0C71"/>
    <w:rsid w:val="006F1984"/>
    <w:rsid w:val="006F2AB2"/>
    <w:rsid w:val="006F3325"/>
    <w:rsid w:val="006F3751"/>
    <w:rsid w:val="006F5803"/>
    <w:rsid w:val="006F63C5"/>
    <w:rsid w:val="006F67A5"/>
    <w:rsid w:val="006F7F23"/>
    <w:rsid w:val="00701236"/>
    <w:rsid w:val="007020B8"/>
    <w:rsid w:val="00702148"/>
    <w:rsid w:val="0070647D"/>
    <w:rsid w:val="00706609"/>
    <w:rsid w:val="00707492"/>
    <w:rsid w:val="007105C7"/>
    <w:rsid w:val="00711B0F"/>
    <w:rsid w:val="0071270B"/>
    <w:rsid w:val="00712AF8"/>
    <w:rsid w:val="00712BB1"/>
    <w:rsid w:val="00713050"/>
    <w:rsid w:val="00713224"/>
    <w:rsid w:val="0071325D"/>
    <w:rsid w:val="007133AC"/>
    <w:rsid w:val="00713EFB"/>
    <w:rsid w:val="00715FC0"/>
    <w:rsid w:val="0071633C"/>
    <w:rsid w:val="00716856"/>
    <w:rsid w:val="007175BF"/>
    <w:rsid w:val="00720844"/>
    <w:rsid w:val="00720A76"/>
    <w:rsid w:val="007212EF"/>
    <w:rsid w:val="00721ED7"/>
    <w:rsid w:val="0072204D"/>
    <w:rsid w:val="007225F7"/>
    <w:rsid w:val="00723405"/>
    <w:rsid w:val="00723AB2"/>
    <w:rsid w:val="00724809"/>
    <w:rsid w:val="00724FB1"/>
    <w:rsid w:val="00725BF1"/>
    <w:rsid w:val="00730CAD"/>
    <w:rsid w:val="007322C7"/>
    <w:rsid w:val="00732D1F"/>
    <w:rsid w:val="00733039"/>
    <w:rsid w:val="00734167"/>
    <w:rsid w:val="00734424"/>
    <w:rsid w:val="007368F8"/>
    <w:rsid w:val="00737109"/>
    <w:rsid w:val="007375BA"/>
    <w:rsid w:val="007409B7"/>
    <w:rsid w:val="00741CED"/>
    <w:rsid w:val="0074329E"/>
    <w:rsid w:val="007446B2"/>
    <w:rsid w:val="00745C8B"/>
    <w:rsid w:val="00746119"/>
    <w:rsid w:val="007471D6"/>
    <w:rsid w:val="00747F50"/>
    <w:rsid w:val="00750AB0"/>
    <w:rsid w:val="00751A12"/>
    <w:rsid w:val="007529C3"/>
    <w:rsid w:val="00752F68"/>
    <w:rsid w:val="00754F4E"/>
    <w:rsid w:val="007623DA"/>
    <w:rsid w:val="00763ADE"/>
    <w:rsid w:val="00764602"/>
    <w:rsid w:val="00764BE6"/>
    <w:rsid w:val="00766B7A"/>
    <w:rsid w:val="007670AA"/>
    <w:rsid w:val="007707C5"/>
    <w:rsid w:val="0077145A"/>
    <w:rsid w:val="00772229"/>
    <w:rsid w:val="007723F9"/>
    <w:rsid w:val="0077291D"/>
    <w:rsid w:val="00772A4E"/>
    <w:rsid w:val="00773692"/>
    <w:rsid w:val="007736F0"/>
    <w:rsid w:val="0077446A"/>
    <w:rsid w:val="00774BA5"/>
    <w:rsid w:val="007757F3"/>
    <w:rsid w:val="007759D8"/>
    <w:rsid w:val="00776571"/>
    <w:rsid w:val="007775D3"/>
    <w:rsid w:val="0078021A"/>
    <w:rsid w:val="0078094E"/>
    <w:rsid w:val="0078183A"/>
    <w:rsid w:val="00781C34"/>
    <w:rsid w:val="00783B19"/>
    <w:rsid w:val="00783F97"/>
    <w:rsid w:val="007857CC"/>
    <w:rsid w:val="00785CAC"/>
    <w:rsid w:val="00787DCE"/>
    <w:rsid w:val="0079060D"/>
    <w:rsid w:val="00790B00"/>
    <w:rsid w:val="0079171C"/>
    <w:rsid w:val="007930BC"/>
    <w:rsid w:val="00793345"/>
    <w:rsid w:val="00793CBF"/>
    <w:rsid w:val="007946CD"/>
    <w:rsid w:val="00794D11"/>
    <w:rsid w:val="00795D74"/>
    <w:rsid w:val="00797DAD"/>
    <w:rsid w:val="007A44B7"/>
    <w:rsid w:val="007A5047"/>
    <w:rsid w:val="007A6B36"/>
    <w:rsid w:val="007A711C"/>
    <w:rsid w:val="007A721A"/>
    <w:rsid w:val="007A76B1"/>
    <w:rsid w:val="007B16AA"/>
    <w:rsid w:val="007B1C3C"/>
    <w:rsid w:val="007B33F6"/>
    <w:rsid w:val="007B4B2A"/>
    <w:rsid w:val="007B7FCD"/>
    <w:rsid w:val="007C1224"/>
    <w:rsid w:val="007C28B5"/>
    <w:rsid w:val="007C51AE"/>
    <w:rsid w:val="007C5455"/>
    <w:rsid w:val="007C616C"/>
    <w:rsid w:val="007C64E9"/>
    <w:rsid w:val="007C65D3"/>
    <w:rsid w:val="007C7D31"/>
    <w:rsid w:val="007D18D4"/>
    <w:rsid w:val="007D26A1"/>
    <w:rsid w:val="007D270B"/>
    <w:rsid w:val="007D2A6B"/>
    <w:rsid w:val="007D2DFE"/>
    <w:rsid w:val="007D3DB6"/>
    <w:rsid w:val="007D3F71"/>
    <w:rsid w:val="007D5556"/>
    <w:rsid w:val="007D568F"/>
    <w:rsid w:val="007D5B7A"/>
    <w:rsid w:val="007D61BB"/>
    <w:rsid w:val="007D6B90"/>
    <w:rsid w:val="007E0C7E"/>
    <w:rsid w:val="007E26FB"/>
    <w:rsid w:val="007E4E2F"/>
    <w:rsid w:val="007E52A8"/>
    <w:rsid w:val="007E5C6B"/>
    <w:rsid w:val="007E713B"/>
    <w:rsid w:val="007F13BE"/>
    <w:rsid w:val="007F1F31"/>
    <w:rsid w:val="007F2B7B"/>
    <w:rsid w:val="007F2C3E"/>
    <w:rsid w:val="007F3BAC"/>
    <w:rsid w:val="007F5651"/>
    <w:rsid w:val="007F734F"/>
    <w:rsid w:val="007F77EB"/>
    <w:rsid w:val="007F7847"/>
    <w:rsid w:val="00800385"/>
    <w:rsid w:val="0080365B"/>
    <w:rsid w:val="00803DDE"/>
    <w:rsid w:val="008043A1"/>
    <w:rsid w:val="008045AC"/>
    <w:rsid w:val="00804E89"/>
    <w:rsid w:val="00805542"/>
    <w:rsid w:val="00805A88"/>
    <w:rsid w:val="008075FF"/>
    <w:rsid w:val="008077F2"/>
    <w:rsid w:val="00807F45"/>
    <w:rsid w:val="00810032"/>
    <w:rsid w:val="008105A1"/>
    <w:rsid w:val="0081126C"/>
    <w:rsid w:val="00812E7B"/>
    <w:rsid w:val="008156C6"/>
    <w:rsid w:val="00815D4F"/>
    <w:rsid w:val="00815F3D"/>
    <w:rsid w:val="00816C26"/>
    <w:rsid w:val="008176D0"/>
    <w:rsid w:val="00821226"/>
    <w:rsid w:val="00822C24"/>
    <w:rsid w:val="00822CE5"/>
    <w:rsid w:val="00822E34"/>
    <w:rsid w:val="00823D70"/>
    <w:rsid w:val="0082587A"/>
    <w:rsid w:val="008308AF"/>
    <w:rsid w:val="008312A2"/>
    <w:rsid w:val="008327C9"/>
    <w:rsid w:val="00835500"/>
    <w:rsid w:val="00835A3D"/>
    <w:rsid w:val="0083607F"/>
    <w:rsid w:val="00836B9C"/>
    <w:rsid w:val="00837FDA"/>
    <w:rsid w:val="00840F18"/>
    <w:rsid w:val="008412C0"/>
    <w:rsid w:val="008424DA"/>
    <w:rsid w:val="0084276B"/>
    <w:rsid w:val="00842DFC"/>
    <w:rsid w:val="008431C8"/>
    <w:rsid w:val="008438F4"/>
    <w:rsid w:val="008445C3"/>
    <w:rsid w:val="00845120"/>
    <w:rsid w:val="00845FC1"/>
    <w:rsid w:val="00846104"/>
    <w:rsid w:val="00847486"/>
    <w:rsid w:val="00850364"/>
    <w:rsid w:val="00851423"/>
    <w:rsid w:val="00851EAE"/>
    <w:rsid w:val="008534F2"/>
    <w:rsid w:val="008539C7"/>
    <w:rsid w:val="00853FAA"/>
    <w:rsid w:val="00854374"/>
    <w:rsid w:val="00854727"/>
    <w:rsid w:val="00854A23"/>
    <w:rsid w:val="00856426"/>
    <w:rsid w:val="00857033"/>
    <w:rsid w:val="00860FEE"/>
    <w:rsid w:val="008628E5"/>
    <w:rsid w:val="00863A0D"/>
    <w:rsid w:val="0086406E"/>
    <w:rsid w:val="00864949"/>
    <w:rsid w:val="00864A89"/>
    <w:rsid w:val="008654D2"/>
    <w:rsid w:val="00865C9D"/>
    <w:rsid w:val="00866920"/>
    <w:rsid w:val="008702CF"/>
    <w:rsid w:val="00870BE0"/>
    <w:rsid w:val="00871D0A"/>
    <w:rsid w:val="00872E91"/>
    <w:rsid w:val="00874986"/>
    <w:rsid w:val="00876D79"/>
    <w:rsid w:val="008779CB"/>
    <w:rsid w:val="00882B78"/>
    <w:rsid w:val="00882FDA"/>
    <w:rsid w:val="008834A0"/>
    <w:rsid w:val="00884B31"/>
    <w:rsid w:val="00890B32"/>
    <w:rsid w:val="00891A84"/>
    <w:rsid w:val="008941E2"/>
    <w:rsid w:val="008942FD"/>
    <w:rsid w:val="00894FF2"/>
    <w:rsid w:val="00895265"/>
    <w:rsid w:val="0089615A"/>
    <w:rsid w:val="008A267D"/>
    <w:rsid w:val="008A2C63"/>
    <w:rsid w:val="008A3958"/>
    <w:rsid w:val="008A3D90"/>
    <w:rsid w:val="008A48ED"/>
    <w:rsid w:val="008A61E1"/>
    <w:rsid w:val="008B07CE"/>
    <w:rsid w:val="008B0B27"/>
    <w:rsid w:val="008B5BC9"/>
    <w:rsid w:val="008B7FF9"/>
    <w:rsid w:val="008C0147"/>
    <w:rsid w:val="008C1A57"/>
    <w:rsid w:val="008C1FE0"/>
    <w:rsid w:val="008C38B8"/>
    <w:rsid w:val="008C41EC"/>
    <w:rsid w:val="008C4ABE"/>
    <w:rsid w:val="008C78FB"/>
    <w:rsid w:val="008D088D"/>
    <w:rsid w:val="008D0E6F"/>
    <w:rsid w:val="008D0FFD"/>
    <w:rsid w:val="008D1463"/>
    <w:rsid w:val="008D20AA"/>
    <w:rsid w:val="008D2436"/>
    <w:rsid w:val="008D28FF"/>
    <w:rsid w:val="008D2BFE"/>
    <w:rsid w:val="008D2CC9"/>
    <w:rsid w:val="008D31C4"/>
    <w:rsid w:val="008D3C71"/>
    <w:rsid w:val="008D3E06"/>
    <w:rsid w:val="008D4036"/>
    <w:rsid w:val="008D74C8"/>
    <w:rsid w:val="008D7733"/>
    <w:rsid w:val="008E0470"/>
    <w:rsid w:val="008E138A"/>
    <w:rsid w:val="008E16CE"/>
    <w:rsid w:val="008E1DBE"/>
    <w:rsid w:val="008E3C48"/>
    <w:rsid w:val="008E4771"/>
    <w:rsid w:val="008E58F0"/>
    <w:rsid w:val="008E6FE0"/>
    <w:rsid w:val="008E7703"/>
    <w:rsid w:val="008F17B4"/>
    <w:rsid w:val="008F3B64"/>
    <w:rsid w:val="008F3DCB"/>
    <w:rsid w:val="008F4858"/>
    <w:rsid w:val="008F590A"/>
    <w:rsid w:val="008F62F9"/>
    <w:rsid w:val="008F6927"/>
    <w:rsid w:val="008F7D08"/>
    <w:rsid w:val="008F7E17"/>
    <w:rsid w:val="00901375"/>
    <w:rsid w:val="009021F8"/>
    <w:rsid w:val="00902458"/>
    <w:rsid w:val="0090262F"/>
    <w:rsid w:val="0090266F"/>
    <w:rsid w:val="009047B7"/>
    <w:rsid w:val="00904E56"/>
    <w:rsid w:val="009104D1"/>
    <w:rsid w:val="00910D01"/>
    <w:rsid w:val="0091175D"/>
    <w:rsid w:val="00912771"/>
    <w:rsid w:val="009137DF"/>
    <w:rsid w:val="0091447C"/>
    <w:rsid w:val="0091516E"/>
    <w:rsid w:val="00915C29"/>
    <w:rsid w:val="00916C0A"/>
    <w:rsid w:val="0091718D"/>
    <w:rsid w:val="0092005D"/>
    <w:rsid w:val="0092095D"/>
    <w:rsid w:val="00921B2B"/>
    <w:rsid w:val="00922153"/>
    <w:rsid w:val="0092297C"/>
    <w:rsid w:val="00925E1D"/>
    <w:rsid w:val="009260C9"/>
    <w:rsid w:val="00926D85"/>
    <w:rsid w:val="009272EA"/>
    <w:rsid w:val="00930624"/>
    <w:rsid w:val="00930668"/>
    <w:rsid w:val="00930AAF"/>
    <w:rsid w:val="009311F5"/>
    <w:rsid w:val="009315B9"/>
    <w:rsid w:val="00935B1D"/>
    <w:rsid w:val="00936656"/>
    <w:rsid w:val="00936D78"/>
    <w:rsid w:val="00936E32"/>
    <w:rsid w:val="009376FD"/>
    <w:rsid w:val="00937772"/>
    <w:rsid w:val="00937DFB"/>
    <w:rsid w:val="00940E0B"/>
    <w:rsid w:val="009419CD"/>
    <w:rsid w:val="00943162"/>
    <w:rsid w:val="0094350A"/>
    <w:rsid w:val="00944A36"/>
    <w:rsid w:val="009450A1"/>
    <w:rsid w:val="009452B8"/>
    <w:rsid w:val="0094788D"/>
    <w:rsid w:val="00950F2E"/>
    <w:rsid w:val="00951FC7"/>
    <w:rsid w:val="00952023"/>
    <w:rsid w:val="00952FE8"/>
    <w:rsid w:val="00953628"/>
    <w:rsid w:val="00953BD6"/>
    <w:rsid w:val="00953E50"/>
    <w:rsid w:val="009565AC"/>
    <w:rsid w:val="00961887"/>
    <w:rsid w:val="00962827"/>
    <w:rsid w:val="00962C2E"/>
    <w:rsid w:val="00963164"/>
    <w:rsid w:val="00963BC0"/>
    <w:rsid w:val="00963C78"/>
    <w:rsid w:val="00963F3D"/>
    <w:rsid w:val="009646BE"/>
    <w:rsid w:val="00965B1E"/>
    <w:rsid w:val="00970D7B"/>
    <w:rsid w:val="00971E9E"/>
    <w:rsid w:val="0097442C"/>
    <w:rsid w:val="0097445D"/>
    <w:rsid w:val="0097610F"/>
    <w:rsid w:val="00980258"/>
    <w:rsid w:val="00981874"/>
    <w:rsid w:val="00981C0E"/>
    <w:rsid w:val="00981D92"/>
    <w:rsid w:val="00983DAD"/>
    <w:rsid w:val="00983DEB"/>
    <w:rsid w:val="009842F9"/>
    <w:rsid w:val="009853A5"/>
    <w:rsid w:val="00985E5B"/>
    <w:rsid w:val="00987177"/>
    <w:rsid w:val="009877B4"/>
    <w:rsid w:val="0098786E"/>
    <w:rsid w:val="009878BC"/>
    <w:rsid w:val="00987C8C"/>
    <w:rsid w:val="00992332"/>
    <w:rsid w:val="00992392"/>
    <w:rsid w:val="00996514"/>
    <w:rsid w:val="009A0EA5"/>
    <w:rsid w:val="009A21F1"/>
    <w:rsid w:val="009A2201"/>
    <w:rsid w:val="009A4ACC"/>
    <w:rsid w:val="009A54BC"/>
    <w:rsid w:val="009B17D4"/>
    <w:rsid w:val="009B47F0"/>
    <w:rsid w:val="009B6B87"/>
    <w:rsid w:val="009B6DA0"/>
    <w:rsid w:val="009B6DB9"/>
    <w:rsid w:val="009B7693"/>
    <w:rsid w:val="009B7BBD"/>
    <w:rsid w:val="009B7FAE"/>
    <w:rsid w:val="009C1650"/>
    <w:rsid w:val="009C2559"/>
    <w:rsid w:val="009C5186"/>
    <w:rsid w:val="009C7C2A"/>
    <w:rsid w:val="009D1C3A"/>
    <w:rsid w:val="009D348E"/>
    <w:rsid w:val="009D3AB5"/>
    <w:rsid w:val="009D4A65"/>
    <w:rsid w:val="009D7427"/>
    <w:rsid w:val="009E0386"/>
    <w:rsid w:val="009E0D9C"/>
    <w:rsid w:val="009E12D1"/>
    <w:rsid w:val="009E186C"/>
    <w:rsid w:val="009E1C80"/>
    <w:rsid w:val="009E2B7D"/>
    <w:rsid w:val="009E3031"/>
    <w:rsid w:val="009E3482"/>
    <w:rsid w:val="009E4B9A"/>
    <w:rsid w:val="009E52B4"/>
    <w:rsid w:val="009E5830"/>
    <w:rsid w:val="009E683B"/>
    <w:rsid w:val="009F10F7"/>
    <w:rsid w:val="009F135B"/>
    <w:rsid w:val="009F2D41"/>
    <w:rsid w:val="009F45E5"/>
    <w:rsid w:val="009F4F9D"/>
    <w:rsid w:val="009F56D2"/>
    <w:rsid w:val="009F607B"/>
    <w:rsid w:val="009F63EF"/>
    <w:rsid w:val="009F6A55"/>
    <w:rsid w:val="00A02331"/>
    <w:rsid w:val="00A04894"/>
    <w:rsid w:val="00A05861"/>
    <w:rsid w:val="00A05F7B"/>
    <w:rsid w:val="00A07E69"/>
    <w:rsid w:val="00A108C6"/>
    <w:rsid w:val="00A10D2C"/>
    <w:rsid w:val="00A11B25"/>
    <w:rsid w:val="00A11B7E"/>
    <w:rsid w:val="00A120EC"/>
    <w:rsid w:val="00A124B0"/>
    <w:rsid w:val="00A13AE4"/>
    <w:rsid w:val="00A15929"/>
    <w:rsid w:val="00A16E63"/>
    <w:rsid w:val="00A216BA"/>
    <w:rsid w:val="00A21EFA"/>
    <w:rsid w:val="00A228BE"/>
    <w:rsid w:val="00A24A78"/>
    <w:rsid w:val="00A24F9E"/>
    <w:rsid w:val="00A26D11"/>
    <w:rsid w:val="00A26EEA"/>
    <w:rsid w:val="00A270C5"/>
    <w:rsid w:val="00A27476"/>
    <w:rsid w:val="00A321E1"/>
    <w:rsid w:val="00A32391"/>
    <w:rsid w:val="00A3396B"/>
    <w:rsid w:val="00A34028"/>
    <w:rsid w:val="00A35846"/>
    <w:rsid w:val="00A37341"/>
    <w:rsid w:val="00A37CF8"/>
    <w:rsid w:val="00A4090A"/>
    <w:rsid w:val="00A40953"/>
    <w:rsid w:val="00A40DD6"/>
    <w:rsid w:val="00A41E0C"/>
    <w:rsid w:val="00A44734"/>
    <w:rsid w:val="00A44994"/>
    <w:rsid w:val="00A45961"/>
    <w:rsid w:val="00A470FB"/>
    <w:rsid w:val="00A5011F"/>
    <w:rsid w:val="00A50620"/>
    <w:rsid w:val="00A506B9"/>
    <w:rsid w:val="00A50A78"/>
    <w:rsid w:val="00A51055"/>
    <w:rsid w:val="00A514A4"/>
    <w:rsid w:val="00A51E58"/>
    <w:rsid w:val="00A5324E"/>
    <w:rsid w:val="00A55011"/>
    <w:rsid w:val="00A5539D"/>
    <w:rsid w:val="00A55BBE"/>
    <w:rsid w:val="00A55F85"/>
    <w:rsid w:val="00A5768C"/>
    <w:rsid w:val="00A578C1"/>
    <w:rsid w:val="00A601B4"/>
    <w:rsid w:val="00A61CBC"/>
    <w:rsid w:val="00A62740"/>
    <w:rsid w:val="00A630E7"/>
    <w:rsid w:val="00A6335D"/>
    <w:rsid w:val="00A63633"/>
    <w:rsid w:val="00A63B73"/>
    <w:rsid w:val="00A63DA6"/>
    <w:rsid w:val="00A642E4"/>
    <w:rsid w:val="00A66890"/>
    <w:rsid w:val="00A6699F"/>
    <w:rsid w:val="00A670B2"/>
    <w:rsid w:val="00A672AB"/>
    <w:rsid w:val="00A711EB"/>
    <w:rsid w:val="00A71961"/>
    <w:rsid w:val="00A7273D"/>
    <w:rsid w:val="00A73F9D"/>
    <w:rsid w:val="00A759F3"/>
    <w:rsid w:val="00A761E3"/>
    <w:rsid w:val="00A761F4"/>
    <w:rsid w:val="00A76622"/>
    <w:rsid w:val="00A7666D"/>
    <w:rsid w:val="00A81147"/>
    <w:rsid w:val="00A815E9"/>
    <w:rsid w:val="00A81996"/>
    <w:rsid w:val="00A824EC"/>
    <w:rsid w:val="00A85299"/>
    <w:rsid w:val="00A86001"/>
    <w:rsid w:val="00A86034"/>
    <w:rsid w:val="00A86B68"/>
    <w:rsid w:val="00A87557"/>
    <w:rsid w:val="00A87CAE"/>
    <w:rsid w:val="00A905AA"/>
    <w:rsid w:val="00A91265"/>
    <w:rsid w:val="00A928F7"/>
    <w:rsid w:val="00A93960"/>
    <w:rsid w:val="00A93C0E"/>
    <w:rsid w:val="00A942B0"/>
    <w:rsid w:val="00A95612"/>
    <w:rsid w:val="00A95A0E"/>
    <w:rsid w:val="00A96709"/>
    <w:rsid w:val="00A9701B"/>
    <w:rsid w:val="00AA0158"/>
    <w:rsid w:val="00AA1CB6"/>
    <w:rsid w:val="00AA1D2B"/>
    <w:rsid w:val="00AA2A97"/>
    <w:rsid w:val="00AA411A"/>
    <w:rsid w:val="00AB0D70"/>
    <w:rsid w:val="00AB19B9"/>
    <w:rsid w:val="00AB27C7"/>
    <w:rsid w:val="00AB29BF"/>
    <w:rsid w:val="00AB4BE1"/>
    <w:rsid w:val="00AB53AC"/>
    <w:rsid w:val="00AB5458"/>
    <w:rsid w:val="00AB614C"/>
    <w:rsid w:val="00AB6F99"/>
    <w:rsid w:val="00AB7424"/>
    <w:rsid w:val="00AC0B37"/>
    <w:rsid w:val="00AC2B71"/>
    <w:rsid w:val="00AC3803"/>
    <w:rsid w:val="00AC48CB"/>
    <w:rsid w:val="00AC6220"/>
    <w:rsid w:val="00AC6B64"/>
    <w:rsid w:val="00AC6F9E"/>
    <w:rsid w:val="00AD07E5"/>
    <w:rsid w:val="00AD3DFD"/>
    <w:rsid w:val="00AD4584"/>
    <w:rsid w:val="00AD4814"/>
    <w:rsid w:val="00AD4D8F"/>
    <w:rsid w:val="00AD569C"/>
    <w:rsid w:val="00AD6F3A"/>
    <w:rsid w:val="00AD7B13"/>
    <w:rsid w:val="00AE112A"/>
    <w:rsid w:val="00AE1B98"/>
    <w:rsid w:val="00AE2669"/>
    <w:rsid w:val="00AE2E76"/>
    <w:rsid w:val="00AE789F"/>
    <w:rsid w:val="00AE7B62"/>
    <w:rsid w:val="00AF0FD4"/>
    <w:rsid w:val="00AF2F5C"/>
    <w:rsid w:val="00AF52E1"/>
    <w:rsid w:val="00AF5312"/>
    <w:rsid w:val="00AF58F4"/>
    <w:rsid w:val="00AF7C5C"/>
    <w:rsid w:val="00B03C84"/>
    <w:rsid w:val="00B046E0"/>
    <w:rsid w:val="00B053CA"/>
    <w:rsid w:val="00B07EAE"/>
    <w:rsid w:val="00B10D9D"/>
    <w:rsid w:val="00B10E8B"/>
    <w:rsid w:val="00B118C0"/>
    <w:rsid w:val="00B13901"/>
    <w:rsid w:val="00B13A49"/>
    <w:rsid w:val="00B143DB"/>
    <w:rsid w:val="00B14638"/>
    <w:rsid w:val="00B149E6"/>
    <w:rsid w:val="00B20EFD"/>
    <w:rsid w:val="00B21B60"/>
    <w:rsid w:val="00B22DD4"/>
    <w:rsid w:val="00B23480"/>
    <w:rsid w:val="00B246B3"/>
    <w:rsid w:val="00B258EE"/>
    <w:rsid w:val="00B25912"/>
    <w:rsid w:val="00B26032"/>
    <w:rsid w:val="00B26421"/>
    <w:rsid w:val="00B2663E"/>
    <w:rsid w:val="00B27CAA"/>
    <w:rsid w:val="00B30ECD"/>
    <w:rsid w:val="00B31388"/>
    <w:rsid w:val="00B34C67"/>
    <w:rsid w:val="00B3508A"/>
    <w:rsid w:val="00B35360"/>
    <w:rsid w:val="00B3601C"/>
    <w:rsid w:val="00B36537"/>
    <w:rsid w:val="00B37EAC"/>
    <w:rsid w:val="00B432AD"/>
    <w:rsid w:val="00B43E75"/>
    <w:rsid w:val="00B44FB3"/>
    <w:rsid w:val="00B46898"/>
    <w:rsid w:val="00B473BB"/>
    <w:rsid w:val="00B4755F"/>
    <w:rsid w:val="00B50F4C"/>
    <w:rsid w:val="00B52EC8"/>
    <w:rsid w:val="00B53A82"/>
    <w:rsid w:val="00B54688"/>
    <w:rsid w:val="00B55926"/>
    <w:rsid w:val="00B56376"/>
    <w:rsid w:val="00B60017"/>
    <w:rsid w:val="00B60799"/>
    <w:rsid w:val="00B61BB8"/>
    <w:rsid w:val="00B62E29"/>
    <w:rsid w:val="00B63CA0"/>
    <w:rsid w:val="00B65930"/>
    <w:rsid w:val="00B65EFD"/>
    <w:rsid w:val="00B67A03"/>
    <w:rsid w:val="00B704E7"/>
    <w:rsid w:val="00B70878"/>
    <w:rsid w:val="00B70A75"/>
    <w:rsid w:val="00B72787"/>
    <w:rsid w:val="00B7370D"/>
    <w:rsid w:val="00B753F0"/>
    <w:rsid w:val="00B76F0E"/>
    <w:rsid w:val="00B8019A"/>
    <w:rsid w:val="00B81928"/>
    <w:rsid w:val="00B821E7"/>
    <w:rsid w:val="00B8225D"/>
    <w:rsid w:val="00B84024"/>
    <w:rsid w:val="00B840FE"/>
    <w:rsid w:val="00B84629"/>
    <w:rsid w:val="00B85CCD"/>
    <w:rsid w:val="00B86690"/>
    <w:rsid w:val="00B87194"/>
    <w:rsid w:val="00B87406"/>
    <w:rsid w:val="00B87CA8"/>
    <w:rsid w:val="00B907E2"/>
    <w:rsid w:val="00B9167D"/>
    <w:rsid w:val="00B91912"/>
    <w:rsid w:val="00B935CB"/>
    <w:rsid w:val="00B94200"/>
    <w:rsid w:val="00B94B81"/>
    <w:rsid w:val="00B95064"/>
    <w:rsid w:val="00B959C0"/>
    <w:rsid w:val="00B96800"/>
    <w:rsid w:val="00B96B9A"/>
    <w:rsid w:val="00B97111"/>
    <w:rsid w:val="00B97CC9"/>
    <w:rsid w:val="00BA0490"/>
    <w:rsid w:val="00BA06BD"/>
    <w:rsid w:val="00BA2874"/>
    <w:rsid w:val="00BA3194"/>
    <w:rsid w:val="00BA327D"/>
    <w:rsid w:val="00BA3BCB"/>
    <w:rsid w:val="00BA660E"/>
    <w:rsid w:val="00BA711F"/>
    <w:rsid w:val="00BB197A"/>
    <w:rsid w:val="00BB1DFB"/>
    <w:rsid w:val="00BB2208"/>
    <w:rsid w:val="00BB2251"/>
    <w:rsid w:val="00BB2EB6"/>
    <w:rsid w:val="00BB43B8"/>
    <w:rsid w:val="00BB6B40"/>
    <w:rsid w:val="00BB7AD2"/>
    <w:rsid w:val="00BC2D3E"/>
    <w:rsid w:val="00BC33E5"/>
    <w:rsid w:val="00BC36AF"/>
    <w:rsid w:val="00BC3967"/>
    <w:rsid w:val="00BC4E2D"/>
    <w:rsid w:val="00BC5C7B"/>
    <w:rsid w:val="00BC5EEA"/>
    <w:rsid w:val="00BC649F"/>
    <w:rsid w:val="00BC6DFD"/>
    <w:rsid w:val="00BD382F"/>
    <w:rsid w:val="00BD410A"/>
    <w:rsid w:val="00BD6CAD"/>
    <w:rsid w:val="00BD7BA8"/>
    <w:rsid w:val="00BE045C"/>
    <w:rsid w:val="00BE1973"/>
    <w:rsid w:val="00BE22F9"/>
    <w:rsid w:val="00BE2734"/>
    <w:rsid w:val="00BE28C4"/>
    <w:rsid w:val="00BE380B"/>
    <w:rsid w:val="00BE4014"/>
    <w:rsid w:val="00BE7404"/>
    <w:rsid w:val="00BF2F54"/>
    <w:rsid w:val="00BF337A"/>
    <w:rsid w:val="00BF3432"/>
    <w:rsid w:val="00BF55A3"/>
    <w:rsid w:val="00BF5DF5"/>
    <w:rsid w:val="00BF6ED8"/>
    <w:rsid w:val="00C01322"/>
    <w:rsid w:val="00C01CE8"/>
    <w:rsid w:val="00C02DF9"/>
    <w:rsid w:val="00C02E04"/>
    <w:rsid w:val="00C030D8"/>
    <w:rsid w:val="00C03F9F"/>
    <w:rsid w:val="00C04316"/>
    <w:rsid w:val="00C04EB6"/>
    <w:rsid w:val="00C0744A"/>
    <w:rsid w:val="00C077F3"/>
    <w:rsid w:val="00C11204"/>
    <w:rsid w:val="00C12878"/>
    <w:rsid w:val="00C13857"/>
    <w:rsid w:val="00C14C8E"/>
    <w:rsid w:val="00C1502F"/>
    <w:rsid w:val="00C15D09"/>
    <w:rsid w:val="00C1628A"/>
    <w:rsid w:val="00C17727"/>
    <w:rsid w:val="00C17CD4"/>
    <w:rsid w:val="00C17CD6"/>
    <w:rsid w:val="00C205FE"/>
    <w:rsid w:val="00C211A1"/>
    <w:rsid w:val="00C2209F"/>
    <w:rsid w:val="00C2249C"/>
    <w:rsid w:val="00C225B3"/>
    <w:rsid w:val="00C22B8E"/>
    <w:rsid w:val="00C241A3"/>
    <w:rsid w:val="00C27A30"/>
    <w:rsid w:val="00C30371"/>
    <w:rsid w:val="00C33A9F"/>
    <w:rsid w:val="00C3462D"/>
    <w:rsid w:val="00C34C72"/>
    <w:rsid w:val="00C35053"/>
    <w:rsid w:val="00C3575E"/>
    <w:rsid w:val="00C40BAA"/>
    <w:rsid w:val="00C41343"/>
    <w:rsid w:val="00C43874"/>
    <w:rsid w:val="00C43FF0"/>
    <w:rsid w:val="00C44368"/>
    <w:rsid w:val="00C44ADB"/>
    <w:rsid w:val="00C45179"/>
    <w:rsid w:val="00C47D65"/>
    <w:rsid w:val="00C519E9"/>
    <w:rsid w:val="00C52C97"/>
    <w:rsid w:val="00C535CF"/>
    <w:rsid w:val="00C53DBC"/>
    <w:rsid w:val="00C54681"/>
    <w:rsid w:val="00C555CE"/>
    <w:rsid w:val="00C555E8"/>
    <w:rsid w:val="00C61038"/>
    <w:rsid w:val="00C613E0"/>
    <w:rsid w:val="00C62844"/>
    <w:rsid w:val="00C65E02"/>
    <w:rsid w:val="00C66D95"/>
    <w:rsid w:val="00C7115C"/>
    <w:rsid w:val="00C72E27"/>
    <w:rsid w:val="00C72F09"/>
    <w:rsid w:val="00C74CBA"/>
    <w:rsid w:val="00C766F8"/>
    <w:rsid w:val="00C76FE3"/>
    <w:rsid w:val="00C77271"/>
    <w:rsid w:val="00C801F8"/>
    <w:rsid w:val="00C81D9F"/>
    <w:rsid w:val="00C849FB"/>
    <w:rsid w:val="00C853F8"/>
    <w:rsid w:val="00C87E5F"/>
    <w:rsid w:val="00C90926"/>
    <w:rsid w:val="00C92B62"/>
    <w:rsid w:val="00C930C2"/>
    <w:rsid w:val="00C9332E"/>
    <w:rsid w:val="00C948F8"/>
    <w:rsid w:val="00C95D1F"/>
    <w:rsid w:val="00CA1678"/>
    <w:rsid w:val="00CA18BE"/>
    <w:rsid w:val="00CA2318"/>
    <w:rsid w:val="00CA281D"/>
    <w:rsid w:val="00CA2A60"/>
    <w:rsid w:val="00CA3744"/>
    <w:rsid w:val="00CA427E"/>
    <w:rsid w:val="00CA480E"/>
    <w:rsid w:val="00CA63A0"/>
    <w:rsid w:val="00CA6ECD"/>
    <w:rsid w:val="00CA7177"/>
    <w:rsid w:val="00CA78D6"/>
    <w:rsid w:val="00CB31F3"/>
    <w:rsid w:val="00CB5C1B"/>
    <w:rsid w:val="00CB63ED"/>
    <w:rsid w:val="00CB7F1D"/>
    <w:rsid w:val="00CC15A3"/>
    <w:rsid w:val="00CC1CAF"/>
    <w:rsid w:val="00CC2466"/>
    <w:rsid w:val="00CC30AB"/>
    <w:rsid w:val="00CC4BA3"/>
    <w:rsid w:val="00CC4C58"/>
    <w:rsid w:val="00CC51F9"/>
    <w:rsid w:val="00CC5A14"/>
    <w:rsid w:val="00CD0E9E"/>
    <w:rsid w:val="00CD3548"/>
    <w:rsid w:val="00CD3EF3"/>
    <w:rsid w:val="00CD5CFF"/>
    <w:rsid w:val="00CD6237"/>
    <w:rsid w:val="00CD6257"/>
    <w:rsid w:val="00CE175F"/>
    <w:rsid w:val="00CE33F3"/>
    <w:rsid w:val="00CE34BB"/>
    <w:rsid w:val="00CE366C"/>
    <w:rsid w:val="00CE4691"/>
    <w:rsid w:val="00CE5306"/>
    <w:rsid w:val="00CE6D7E"/>
    <w:rsid w:val="00CF0C7C"/>
    <w:rsid w:val="00CF0F0C"/>
    <w:rsid w:val="00CF220A"/>
    <w:rsid w:val="00CF34BF"/>
    <w:rsid w:val="00CF415A"/>
    <w:rsid w:val="00CF581F"/>
    <w:rsid w:val="00CF5AD2"/>
    <w:rsid w:val="00CF766C"/>
    <w:rsid w:val="00CF77C1"/>
    <w:rsid w:val="00D01772"/>
    <w:rsid w:val="00D01A65"/>
    <w:rsid w:val="00D02BDC"/>
    <w:rsid w:val="00D02F61"/>
    <w:rsid w:val="00D0343B"/>
    <w:rsid w:val="00D069F0"/>
    <w:rsid w:val="00D071D9"/>
    <w:rsid w:val="00D126EF"/>
    <w:rsid w:val="00D12BF6"/>
    <w:rsid w:val="00D14A73"/>
    <w:rsid w:val="00D15FEA"/>
    <w:rsid w:val="00D15FF4"/>
    <w:rsid w:val="00D161CC"/>
    <w:rsid w:val="00D174FA"/>
    <w:rsid w:val="00D20109"/>
    <w:rsid w:val="00D20BBB"/>
    <w:rsid w:val="00D22714"/>
    <w:rsid w:val="00D24AA0"/>
    <w:rsid w:val="00D2560A"/>
    <w:rsid w:val="00D26DD6"/>
    <w:rsid w:val="00D27497"/>
    <w:rsid w:val="00D27FB4"/>
    <w:rsid w:val="00D30D76"/>
    <w:rsid w:val="00D33C75"/>
    <w:rsid w:val="00D412D5"/>
    <w:rsid w:val="00D42CD5"/>
    <w:rsid w:val="00D43188"/>
    <w:rsid w:val="00D434B0"/>
    <w:rsid w:val="00D43D9F"/>
    <w:rsid w:val="00D43F2D"/>
    <w:rsid w:val="00D44CD3"/>
    <w:rsid w:val="00D44E8D"/>
    <w:rsid w:val="00D45064"/>
    <w:rsid w:val="00D4697F"/>
    <w:rsid w:val="00D46AE4"/>
    <w:rsid w:val="00D46DF4"/>
    <w:rsid w:val="00D47E78"/>
    <w:rsid w:val="00D523C4"/>
    <w:rsid w:val="00D53804"/>
    <w:rsid w:val="00D54B37"/>
    <w:rsid w:val="00D54BB0"/>
    <w:rsid w:val="00D5648A"/>
    <w:rsid w:val="00D56E87"/>
    <w:rsid w:val="00D56F67"/>
    <w:rsid w:val="00D61536"/>
    <w:rsid w:val="00D625C5"/>
    <w:rsid w:val="00D628CF"/>
    <w:rsid w:val="00D6337F"/>
    <w:rsid w:val="00D63AF1"/>
    <w:rsid w:val="00D63C2C"/>
    <w:rsid w:val="00D64123"/>
    <w:rsid w:val="00D64CE8"/>
    <w:rsid w:val="00D65402"/>
    <w:rsid w:val="00D66910"/>
    <w:rsid w:val="00D70394"/>
    <w:rsid w:val="00D70E20"/>
    <w:rsid w:val="00D72216"/>
    <w:rsid w:val="00D72608"/>
    <w:rsid w:val="00D76068"/>
    <w:rsid w:val="00D77AE4"/>
    <w:rsid w:val="00D805D2"/>
    <w:rsid w:val="00D8102D"/>
    <w:rsid w:val="00D81878"/>
    <w:rsid w:val="00D827C2"/>
    <w:rsid w:val="00D83786"/>
    <w:rsid w:val="00D84A02"/>
    <w:rsid w:val="00D86961"/>
    <w:rsid w:val="00D87244"/>
    <w:rsid w:val="00D9177B"/>
    <w:rsid w:val="00D91994"/>
    <w:rsid w:val="00D92073"/>
    <w:rsid w:val="00D92709"/>
    <w:rsid w:val="00D933C1"/>
    <w:rsid w:val="00D93CFD"/>
    <w:rsid w:val="00D94D8D"/>
    <w:rsid w:val="00D957D8"/>
    <w:rsid w:val="00D9682B"/>
    <w:rsid w:val="00D96835"/>
    <w:rsid w:val="00DA310D"/>
    <w:rsid w:val="00DA33AA"/>
    <w:rsid w:val="00DA364D"/>
    <w:rsid w:val="00DA488D"/>
    <w:rsid w:val="00DA5B8B"/>
    <w:rsid w:val="00DA66FF"/>
    <w:rsid w:val="00DA746A"/>
    <w:rsid w:val="00DB0247"/>
    <w:rsid w:val="00DB0731"/>
    <w:rsid w:val="00DB0826"/>
    <w:rsid w:val="00DB1596"/>
    <w:rsid w:val="00DC0406"/>
    <w:rsid w:val="00DC0C1C"/>
    <w:rsid w:val="00DC21FD"/>
    <w:rsid w:val="00DC278A"/>
    <w:rsid w:val="00DC4044"/>
    <w:rsid w:val="00DC4B72"/>
    <w:rsid w:val="00DC6CA2"/>
    <w:rsid w:val="00DC6F7E"/>
    <w:rsid w:val="00DC715A"/>
    <w:rsid w:val="00DC7200"/>
    <w:rsid w:val="00DC7825"/>
    <w:rsid w:val="00DC7F89"/>
    <w:rsid w:val="00DD02AC"/>
    <w:rsid w:val="00DD1362"/>
    <w:rsid w:val="00DD147F"/>
    <w:rsid w:val="00DD14CE"/>
    <w:rsid w:val="00DD299B"/>
    <w:rsid w:val="00DD2D6D"/>
    <w:rsid w:val="00DD59A3"/>
    <w:rsid w:val="00DD5BD0"/>
    <w:rsid w:val="00DD6A9B"/>
    <w:rsid w:val="00DE0457"/>
    <w:rsid w:val="00DE528B"/>
    <w:rsid w:val="00DE5729"/>
    <w:rsid w:val="00DE5B29"/>
    <w:rsid w:val="00DE7224"/>
    <w:rsid w:val="00DF05D0"/>
    <w:rsid w:val="00DF2B2D"/>
    <w:rsid w:val="00DF3C9D"/>
    <w:rsid w:val="00DF4DCE"/>
    <w:rsid w:val="00DF5874"/>
    <w:rsid w:val="00DF5F94"/>
    <w:rsid w:val="00DF6951"/>
    <w:rsid w:val="00E0090B"/>
    <w:rsid w:val="00E057A0"/>
    <w:rsid w:val="00E05C4D"/>
    <w:rsid w:val="00E05DC1"/>
    <w:rsid w:val="00E10CE1"/>
    <w:rsid w:val="00E117AE"/>
    <w:rsid w:val="00E11EB5"/>
    <w:rsid w:val="00E12319"/>
    <w:rsid w:val="00E135F7"/>
    <w:rsid w:val="00E141CB"/>
    <w:rsid w:val="00E14B08"/>
    <w:rsid w:val="00E14EB7"/>
    <w:rsid w:val="00E153CA"/>
    <w:rsid w:val="00E15E44"/>
    <w:rsid w:val="00E17981"/>
    <w:rsid w:val="00E17AE4"/>
    <w:rsid w:val="00E20B1A"/>
    <w:rsid w:val="00E21E2B"/>
    <w:rsid w:val="00E22CEF"/>
    <w:rsid w:val="00E2313B"/>
    <w:rsid w:val="00E235E5"/>
    <w:rsid w:val="00E23EC1"/>
    <w:rsid w:val="00E2414F"/>
    <w:rsid w:val="00E26D1D"/>
    <w:rsid w:val="00E2745B"/>
    <w:rsid w:val="00E27863"/>
    <w:rsid w:val="00E27D0C"/>
    <w:rsid w:val="00E3023F"/>
    <w:rsid w:val="00E30C62"/>
    <w:rsid w:val="00E335F0"/>
    <w:rsid w:val="00E343E2"/>
    <w:rsid w:val="00E34492"/>
    <w:rsid w:val="00E37E2F"/>
    <w:rsid w:val="00E40982"/>
    <w:rsid w:val="00E40A9E"/>
    <w:rsid w:val="00E40F5A"/>
    <w:rsid w:val="00E41194"/>
    <w:rsid w:val="00E415D0"/>
    <w:rsid w:val="00E41F1B"/>
    <w:rsid w:val="00E422C4"/>
    <w:rsid w:val="00E42F84"/>
    <w:rsid w:val="00E444FB"/>
    <w:rsid w:val="00E45915"/>
    <w:rsid w:val="00E462EC"/>
    <w:rsid w:val="00E46931"/>
    <w:rsid w:val="00E477CE"/>
    <w:rsid w:val="00E479D6"/>
    <w:rsid w:val="00E53E24"/>
    <w:rsid w:val="00E55386"/>
    <w:rsid w:val="00E557D0"/>
    <w:rsid w:val="00E5595E"/>
    <w:rsid w:val="00E55CC4"/>
    <w:rsid w:val="00E572DE"/>
    <w:rsid w:val="00E5744D"/>
    <w:rsid w:val="00E60490"/>
    <w:rsid w:val="00E64406"/>
    <w:rsid w:val="00E663EB"/>
    <w:rsid w:val="00E67A42"/>
    <w:rsid w:val="00E67BF9"/>
    <w:rsid w:val="00E711B2"/>
    <w:rsid w:val="00E71B5C"/>
    <w:rsid w:val="00E726EE"/>
    <w:rsid w:val="00E7356D"/>
    <w:rsid w:val="00E735BC"/>
    <w:rsid w:val="00E73A23"/>
    <w:rsid w:val="00E73CC9"/>
    <w:rsid w:val="00E75C6B"/>
    <w:rsid w:val="00E770AA"/>
    <w:rsid w:val="00E80144"/>
    <w:rsid w:val="00E816A4"/>
    <w:rsid w:val="00E837AA"/>
    <w:rsid w:val="00E844FF"/>
    <w:rsid w:val="00E84AE4"/>
    <w:rsid w:val="00E85A11"/>
    <w:rsid w:val="00E861C0"/>
    <w:rsid w:val="00E86E32"/>
    <w:rsid w:val="00E8719C"/>
    <w:rsid w:val="00E87FB3"/>
    <w:rsid w:val="00E9050D"/>
    <w:rsid w:val="00E90702"/>
    <w:rsid w:val="00E919D8"/>
    <w:rsid w:val="00E91EEB"/>
    <w:rsid w:val="00E92E2D"/>
    <w:rsid w:val="00E92E6E"/>
    <w:rsid w:val="00E9321A"/>
    <w:rsid w:val="00E93373"/>
    <w:rsid w:val="00E9372D"/>
    <w:rsid w:val="00E94F15"/>
    <w:rsid w:val="00E95EDA"/>
    <w:rsid w:val="00E96C1F"/>
    <w:rsid w:val="00E9729E"/>
    <w:rsid w:val="00E972DF"/>
    <w:rsid w:val="00EA0CB3"/>
    <w:rsid w:val="00EA1C75"/>
    <w:rsid w:val="00EA23E2"/>
    <w:rsid w:val="00EA2792"/>
    <w:rsid w:val="00EA2AAB"/>
    <w:rsid w:val="00EA2AE6"/>
    <w:rsid w:val="00EA3B9B"/>
    <w:rsid w:val="00EA62FF"/>
    <w:rsid w:val="00EA6477"/>
    <w:rsid w:val="00EA7908"/>
    <w:rsid w:val="00EB0131"/>
    <w:rsid w:val="00EB37E2"/>
    <w:rsid w:val="00EB3FBB"/>
    <w:rsid w:val="00EB40D4"/>
    <w:rsid w:val="00EB4552"/>
    <w:rsid w:val="00EB5693"/>
    <w:rsid w:val="00EB57C9"/>
    <w:rsid w:val="00EB7320"/>
    <w:rsid w:val="00EB73C4"/>
    <w:rsid w:val="00EB73F2"/>
    <w:rsid w:val="00EB7AD0"/>
    <w:rsid w:val="00EC1D90"/>
    <w:rsid w:val="00EC2311"/>
    <w:rsid w:val="00EC27A0"/>
    <w:rsid w:val="00EC3134"/>
    <w:rsid w:val="00EC50F8"/>
    <w:rsid w:val="00EC6E16"/>
    <w:rsid w:val="00EC72FA"/>
    <w:rsid w:val="00EC74DB"/>
    <w:rsid w:val="00ED2E08"/>
    <w:rsid w:val="00ED3AEC"/>
    <w:rsid w:val="00ED51C1"/>
    <w:rsid w:val="00ED5966"/>
    <w:rsid w:val="00ED76D2"/>
    <w:rsid w:val="00EE22A6"/>
    <w:rsid w:val="00EE2EFC"/>
    <w:rsid w:val="00EE2F4E"/>
    <w:rsid w:val="00EE3AC2"/>
    <w:rsid w:val="00EE4C60"/>
    <w:rsid w:val="00EE4EE2"/>
    <w:rsid w:val="00EF0BDC"/>
    <w:rsid w:val="00EF1D0F"/>
    <w:rsid w:val="00EF1DDD"/>
    <w:rsid w:val="00EF5708"/>
    <w:rsid w:val="00EF700A"/>
    <w:rsid w:val="00EF7C72"/>
    <w:rsid w:val="00F006B2"/>
    <w:rsid w:val="00F006FC"/>
    <w:rsid w:val="00F02103"/>
    <w:rsid w:val="00F022DC"/>
    <w:rsid w:val="00F0256F"/>
    <w:rsid w:val="00F054BC"/>
    <w:rsid w:val="00F0552F"/>
    <w:rsid w:val="00F05E02"/>
    <w:rsid w:val="00F109BD"/>
    <w:rsid w:val="00F10B9B"/>
    <w:rsid w:val="00F11061"/>
    <w:rsid w:val="00F1156C"/>
    <w:rsid w:val="00F12122"/>
    <w:rsid w:val="00F12316"/>
    <w:rsid w:val="00F12C6D"/>
    <w:rsid w:val="00F14961"/>
    <w:rsid w:val="00F15ECD"/>
    <w:rsid w:val="00F17F25"/>
    <w:rsid w:val="00F21072"/>
    <w:rsid w:val="00F23792"/>
    <w:rsid w:val="00F248BC"/>
    <w:rsid w:val="00F24929"/>
    <w:rsid w:val="00F263AE"/>
    <w:rsid w:val="00F27BAD"/>
    <w:rsid w:val="00F316A8"/>
    <w:rsid w:val="00F33273"/>
    <w:rsid w:val="00F3381A"/>
    <w:rsid w:val="00F34C0E"/>
    <w:rsid w:val="00F354EC"/>
    <w:rsid w:val="00F35CE3"/>
    <w:rsid w:val="00F35DA4"/>
    <w:rsid w:val="00F36F27"/>
    <w:rsid w:val="00F425CC"/>
    <w:rsid w:val="00F43502"/>
    <w:rsid w:val="00F439CE"/>
    <w:rsid w:val="00F4592B"/>
    <w:rsid w:val="00F50CD5"/>
    <w:rsid w:val="00F50EFD"/>
    <w:rsid w:val="00F52055"/>
    <w:rsid w:val="00F52A02"/>
    <w:rsid w:val="00F539D3"/>
    <w:rsid w:val="00F53F72"/>
    <w:rsid w:val="00F54820"/>
    <w:rsid w:val="00F5577D"/>
    <w:rsid w:val="00F557DD"/>
    <w:rsid w:val="00F55BDC"/>
    <w:rsid w:val="00F5634A"/>
    <w:rsid w:val="00F5712A"/>
    <w:rsid w:val="00F57378"/>
    <w:rsid w:val="00F57D45"/>
    <w:rsid w:val="00F60FB7"/>
    <w:rsid w:val="00F62341"/>
    <w:rsid w:val="00F624B5"/>
    <w:rsid w:val="00F629F9"/>
    <w:rsid w:val="00F62FD8"/>
    <w:rsid w:val="00F6393E"/>
    <w:rsid w:val="00F67EB7"/>
    <w:rsid w:val="00F70CC8"/>
    <w:rsid w:val="00F717F3"/>
    <w:rsid w:val="00F7244B"/>
    <w:rsid w:val="00F77564"/>
    <w:rsid w:val="00F775C8"/>
    <w:rsid w:val="00F805E9"/>
    <w:rsid w:val="00F824CE"/>
    <w:rsid w:val="00F82E5A"/>
    <w:rsid w:val="00F838C5"/>
    <w:rsid w:val="00F83A68"/>
    <w:rsid w:val="00F86BF9"/>
    <w:rsid w:val="00F879A7"/>
    <w:rsid w:val="00F87B9C"/>
    <w:rsid w:val="00F91DA9"/>
    <w:rsid w:val="00F93005"/>
    <w:rsid w:val="00F96D5E"/>
    <w:rsid w:val="00F97832"/>
    <w:rsid w:val="00FA2BEE"/>
    <w:rsid w:val="00FA317D"/>
    <w:rsid w:val="00FA371A"/>
    <w:rsid w:val="00FA4539"/>
    <w:rsid w:val="00FA5C6D"/>
    <w:rsid w:val="00FA7C09"/>
    <w:rsid w:val="00FB0726"/>
    <w:rsid w:val="00FB0A16"/>
    <w:rsid w:val="00FB0A98"/>
    <w:rsid w:val="00FB30B7"/>
    <w:rsid w:val="00FB3EE2"/>
    <w:rsid w:val="00FB4FA1"/>
    <w:rsid w:val="00FB5BA0"/>
    <w:rsid w:val="00FB71FB"/>
    <w:rsid w:val="00FB787F"/>
    <w:rsid w:val="00FB7EC6"/>
    <w:rsid w:val="00FC27EC"/>
    <w:rsid w:val="00FC3B84"/>
    <w:rsid w:val="00FC44F4"/>
    <w:rsid w:val="00FC5D75"/>
    <w:rsid w:val="00FC6F19"/>
    <w:rsid w:val="00FD12CA"/>
    <w:rsid w:val="00FD14D7"/>
    <w:rsid w:val="00FD4FF0"/>
    <w:rsid w:val="00FD629B"/>
    <w:rsid w:val="00FD6AF2"/>
    <w:rsid w:val="00FD7BC5"/>
    <w:rsid w:val="00FE1BAE"/>
    <w:rsid w:val="00FE5624"/>
    <w:rsid w:val="00FF021A"/>
    <w:rsid w:val="00FF1131"/>
    <w:rsid w:val="00FF3C7E"/>
    <w:rsid w:val="00FF58E2"/>
    <w:rsid w:val="00FF7E44"/>
    <w:rsid w:val="542E2CF5"/>
    <w:rsid w:val="71B24BB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sz w:val="24"/>
      <w:szCs w:val="24"/>
      <w:lang w:val="ru-RU" w:eastAsia="ru-RU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Style w:val="3"/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page number"/>
    <w:basedOn w:val="2"/>
    <w:uiPriority w:val="0"/>
  </w:style>
  <w:style w:type="character" w:styleId="5">
    <w:name w:val="Strong"/>
    <w:qFormat/>
    <w:uiPriority w:val="0"/>
    <w:rPr>
      <w:b/>
      <w:bCs/>
    </w:rPr>
  </w:style>
  <w:style w:type="paragraph" w:styleId="6">
    <w:name w:val="Balloon Text"/>
    <w:basedOn w:val="1"/>
    <w:semiHidden/>
    <w:uiPriority w:val="0"/>
    <w:rPr>
      <w:rFonts w:ascii="Tahoma" w:hAnsi="Tahoma" w:cs="Tahoma"/>
      <w:sz w:val="16"/>
      <w:szCs w:val="16"/>
    </w:rPr>
  </w:style>
  <w:style w:type="paragraph" w:styleId="7">
    <w:name w:val="header"/>
    <w:basedOn w:val="1"/>
    <w:uiPriority w:val="0"/>
    <w:pPr>
      <w:tabs>
        <w:tab w:val="center" w:pos="4677"/>
        <w:tab w:val="right" w:pos="9355"/>
      </w:tabs>
    </w:pPr>
  </w:style>
  <w:style w:type="paragraph" w:styleId="8">
    <w:name w:val="footer"/>
    <w:basedOn w:val="1"/>
    <w:link w:val="10"/>
    <w:uiPriority w:val="0"/>
    <w:pPr>
      <w:tabs>
        <w:tab w:val="center" w:pos="4677"/>
        <w:tab w:val="right" w:pos="9355"/>
      </w:tabs>
    </w:pPr>
  </w:style>
  <w:style w:type="table" w:styleId="9">
    <w:name w:val="Table Grid"/>
    <w:basedOn w:val="3"/>
    <w:uiPriority w:val="0"/>
    <w:tblPr>
      <w:tblStyle w:val="3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Нижний колонтитул Знак"/>
    <w:link w:val="8"/>
    <w:uiPriority w:val="0"/>
    <w:rPr>
      <w:sz w:val="24"/>
      <w:szCs w:val="24"/>
    </w:rPr>
  </w:style>
  <w:style w:type="paragraph" w:customStyle="1" w:styleId="11">
    <w:name w:val=" Знак Знак Знак Знак Знак Знак"/>
    <w:basedOn w:val="1"/>
    <w:uiPriority w:val="0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table" w:customStyle="1" w:styleId="12">
    <w:name w:val="Сетка таблицы2"/>
    <w:basedOn w:val="3"/>
    <w:uiPriority w:val="0"/>
    <w:rPr>
      <w:color w:val="000000"/>
    </w:rPr>
    <w:tblPr>
      <w:tblStyle w:val="3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13">
    <w:name w:val="Сетка таблицы1"/>
    <w:basedOn w:val="3"/>
    <w:uiPriority w:val="0"/>
    <w:rPr>
      <w:rFonts w:ascii="Calibri" w:hAnsi="Calibri"/>
      <w:color w:val="000000"/>
      <w:sz w:val="22"/>
    </w:rPr>
    <w:tblPr>
      <w:tblStyle w:val="3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Комитет информации и печати Курской области</Company>
  <Pages>16</Pages>
  <Words>4551</Words>
  <Characters>25944</Characters>
  <Lines>216</Lines>
  <Paragraphs>60</Paragraphs>
  <TotalTime>0</TotalTime>
  <ScaleCrop>false</ScaleCrop>
  <LinksUpToDate>false</LinksUpToDate>
  <CharactersWithSpaces>30435</CharactersWithSpaces>
  <Application>WPS Office_12.2.0.20795_F1E327BC-269C-435d-A152-05C5408002CA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2025-02-27T12:56:00Z</dcterms:created>
  <dc:creator>Чернобровенко</dc:creator>
  <cp:lastModifiedBy>WPS_1710139449</cp:lastModifiedBy>
  <cp:lastPrinted>2024-02-29T12:14:00Z</cp:lastPrinted>
  <dcterms:modified xsi:type="dcterms:W3CDTF">2025-04-22T12:47:05Z</dcterms:modified>
  <dc:title>Годовой отчет</dc:title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1049-12.2.0.20795</vt:lpwstr>
  </property>
  <property fmtid="{D5CDD505-2E9C-101B-9397-08002B2CF9AE}" pid="3" name="ICV">
    <vt:lpwstr>CE380F6256D241539C47C7E51E194C80_13</vt:lpwstr>
  </property>
</Properties>
</file>