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9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Результаты</w:t>
      </w:r>
      <w:r>
        <w:rPr>
          <w:rFonts w:ascii="PT Astra Serif" w:hAnsi="PT Astra Serif"/>
          <w:sz w:val="28"/>
        </w:rPr>
        <w:t xml:space="preserve"> электронного</w:t>
      </w:r>
      <w:r>
        <w:rPr>
          <w:rFonts w:ascii="PT Astra Serif" w:hAnsi="PT Astra Serif"/>
          <w:sz w:val="28"/>
        </w:rPr>
        <w:t xml:space="preserve"> аукциона</w:t>
      </w:r>
    </w:p>
    <w:p w14:paraId="02000000">
      <w:pPr>
        <w:widowControl w:val="1"/>
        <w:spacing w:after="0" w:line="240" w:lineRule="auto"/>
        <w:ind w:firstLine="709"/>
        <w:jc w:val="center"/>
        <w:rPr>
          <w:rFonts w:ascii="PT Astra Serif" w:hAnsi="PT Astra Serif"/>
          <w:sz w:val="28"/>
        </w:rPr>
      </w:pPr>
    </w:p>
    <w:p w14:paraId="03000000">
      <w:pPr>
        <w:widowControl w:val="1"/>
        <w:ind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 xml:space="preserve">В связи с отсутствием заявок на участие в </w:t>
      </w:r>
      <w:r>
        <w:rPr>
          <w:rFonts w:ascii="PT Astra Serif" w:hAnsi="PT Astra Serif"/>
          <w:sz w:val="28"/>
        </w:rPr>
        <w:t xml:space="preserve">электронном </w:t>
      </w:r>
      <w:r>
        <w:rPr>
          <w:rFonts w:ascii="PT Astra Serif" w:hAnsi="PT Astra Serif"/>
          <w:sz w:val="28"/>
        </w:rPr>
        <w:t>аукционе на право заключения договора</w:t>
      </w:r>
      <w:r>
        <w:rPr>
          <w:rFonts w:ascii="PT Astra Serif" w:hAnsi="PT Astra Serif"/>
          <w:sz w:val="28"/>
        </w:rPr>
        <w:t xml:space="preserve"> аренды им</w:t>
      </w:r>
      <w:r>
        <w:rPr>
          <w:rFonts w:ascii="PT Astra Serif" w:hAnsi="PT Astra Serif"/>
          <w:sz w:val="28"/>
        </w:rPr>
        <w:t xml:space="preserve">ущества казны Курской области на </w:t>
      </w:r>
      <w:r>
        <w:rPr>
          <w:rFonts w:ascii="PT Astra Serif" w:hAnsi="PT Astra Serif"/>
          <w:sz w:val="28"/>
        </w:rPr>
        <w:t>н</w:t>
      </w:r>
      <w:r>
        <w:rPr>
          <w:rFonts w:ascii="PT Astra Serif" w:hAnsi="PT Astra Serif"/>
          <w:sz w:val="28"/>
        </w:rPr>
        <w:t>ежилое помещение, площадью 21,7 кв.м., входящее в состав нежилого помещения с кадастровым номером 46:29:103197:280, в здании, расположенном по адресу: г. Курск, ул. Магистральная, 17, помещения                                           №№ 7,8, на 2 этаже</w:t>
      </w:r>
      <w:r>
        <w:rPr>
          <w:rFonts w:ascii="PT Astra Serif" w:hAnsi="PT Astra Serif"/>
          <w:sz w:val="28"/>
        </w:rPr>
        <w:t xml:space="preserve">, </w:t>
      </w:r>
      <w:r>
        <w:rPr>
          <w:rFonts w:ascii="PT Astra Serif" w:hAnsi="PT Astra Serif"/>
          <w:sz w:val="28"/>
        </w:rPr>
        <w:t>данный аукцион</w:t>
      </w:r>
      <w:r>
        <w:rPr>
          <w:rFonts w:ascii="PT Astra Serif" w:hAnsi="PT Astra Serif"/>
          <w:sz w:val="28"/>
        </w:rPr>
        <w:t xml:space="preserve"> признан несостоявшимся.</w:t>
      </w:r>
    </w:p>
    <w:p w14:paraId="04000000">
      <w:pPr>
        <w:widowControl w:val="1"/>
        <w:ind/>
        <w:contextualSpacing w:val="1"/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200" w:line="276" w:lineRule="auto"/>
      <w:ind/>
    </w:pPr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Balloon Text"/>
    <w:basedOn w:val="Style_1"/>
    <w:link w:val="Style_8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8_ch" w:type="character">
    <w:name w:val="Balloon Text"/>
    <w:basedOn w:val="Style_1_ch"/>
    <w:link w:val="Style_8"/>
    <w:rPr>
      <w:rFonts w:ascii="Segoe UI" w:hAnsi="Segoe UI"/>
      <w:sz w:val="18"/>
    </w:rPr>
  </w:style>
  <w:style w:styleId="Style_9" w:type="paragraph">
    <w:name w:val="toc 3"/>
    <w:next w:val="Style_1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heading 1"/>
    <w:next w:val="Style_1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1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1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2023-06-23T14:28:00Z</dcterms:created>
  <dcterms:modified xsi:type="dcterms:W3CDTF">2026-10-21T08:19:51Z</dcterms:modified>
</cp:coreProperties>
</file>