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widowControl w:val="1"/>
        <w:spacing w:line="264" w:lineRule="auto"/>
        <w:ind w:firstLine="0"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Извещение о проведен</w:t>
      </w:r>
      <w:r>
        <w:rPr>
          <w:rFonts w:ascii="PT Astra Serif" w:hAnsi="PT Astra Serif"/>
          <w:b w:val="1"/>
          <w:sz w:val="26"/>
        </w:rPr>
        <w:t>ии ау</w:t>
      </w:r>
      <w:r>
        <w:rPr>
          <w:rFonts w:ascii="PT Astra Serif" w:hAnsi="PT Astra Serif"/>
          <w:b w:val="1"/>
          <w:sz w:val="26"/>
        </w:rPr>
        <w:t>кциона</w:t>
      </w:r>
    </w:p>
    <w:p w14:paraId="03000000">
      <w:pPr>
        <w:pStyle w:val="Style_2"/>
        <w:widowControl w:val="1"/>
        <w:spacing w:line="264" w:lineRule="auto"/>
        <w:ind w:firstLine="0"/>
        <w:contextualSpacing w:val="1"/>
        <w:rPr>
          <w:rFonts w:ascii="PT Astra Serif" w:hAnsi="PT Astra Serif"/>
          <w:b w:val="1"/>
          <w:sz w:val="26"/>
        </w:rPr>
      </w:pPr>
    </w:p>
    <w:p w14:paraId="04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1.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Полное и сокращенное (при наличии) наименование юридического лица, адрес юридического лица в пределах места нахождения юридического лица, адрес электронной почты и номер контактного телефона организатора аукциона, адрес электронной площадки в информационно-телекоммуникационной сети "Интернет", на которой проводится аукцион:</w:t>
      </w:r>
    </w:p>
    <w:p w14:paraId="05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Организатор электронного </w:t>
      </w:r>
      <w:r>
        <w:rPr>
          <w:rFonts w:ascii="PT Astra Serif" w:hAnsi="PT Astra Serif"/>
          <w:sz w:val="26"/>
        </w:rPr>
        <w:t>а</w:t>
      </w:r>
      <w:r>
        <w:rPr>
          <w:rFonts w:ascii="PT Astra Serif" w:hAnsi="PT Astra Serif"/>
          <w:sz w:val="26"/>
        </w:rPr>
        <w:t xml:space="preserve">укциона – </w:t>
      </w:r>
      <w:r>
        <w:rPr>
          <w:rFonts w:ascii="PT Astra Serif" w:hAnsi="PT Astra Serif"/>
          <w:sz w:val="26"/>
        </w:rPr>
        <w:t xml:space="preserve">Министерство градостроительной политики, имущественных и земельных отношений </w:t>
      </w:r>
      <w:r>
        <w:rPr>
          <w:rFonts w:ascii="PT Astra Serif" w:hAnsi="PT Astra Serif"/>
          <w:sz w:val="26"/>
        </w:rPr>
        <w:t>Курской области</w:t>
      </w:r>
      <w:r>
        <w:rPr>
          <w:rFonts w:ascii="PT Astra Serif" w:hAnsi="PT Astra Serif"/>
          <w:sz w:val="26"/>
        </w:rPr>
        <w:t xml:space="preserve"> (далее – Организатор). </w:t>
      </w:r>
    </w:p>
    <w:p w14:paraId="06000000">
      <w:pPr>
        <w:widowControl w:val="0"/>
        <w:spacing w:line="240" w:lineRule="auto"/>
        <w:ind w:firstLine="624" w:right="-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Адрес Организатора: 305000, г. Курск, ул</w:t>
      </w:r>
      <w:r>
        <w:rPr>
          <w:rFonts w:ascii="PT Astra Serif" w:hAnsi="PT Astra Serif"/>
          <w:sz w:val="26"/>
        </w:rPr>
        <w:t xml:space="preserve">. Марата, 9. </w:t>
      </w:r>
    </w:p>
    <w:p w14:paraId="07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Контактные телефоны Организатора: </w:t>
      </w:r>
      <w:r>
        <w:rPr>
          <w:rStyle w:val="Style_3_ch"/>
          <w:rFonts w:ascii="PT Astra Serif" w:hAnsi="PT Astra Serif"/>
          <w:sz w:val="26"/>
          <w:highlight w:val="white"/>
        </w:rPr>
        <w:t>+</w:t>
      </w:r>
      <w:r>
        <w:rPr>
          <w:rStyle w:val="Style_3_ch"/>
          <w:rFonts w:ascii="PT Astra Serif" w:hAnsi="PT Astra Serif"/>
          <w:sz w:val="26"/>
          <w:highlight w:val="white"/>
        </w:rPr>
        <w:t xml:space="preserve"> 7 </w:t>
      </w:r>
      <w:r>
        <w:rPr>
          <w:rFonts w:ascii="PT Astra Serif" w:hAnsi="PT Astra Serif"/>
          <w:sz w:val="26"/>
        </w:rPr>
        <w:t>(4712) 70-08-24</w:t>
      </w:r>
    </w:p>
    <w:p w14:paraId="08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Адрес электронной почты Организатора -labuzovavi@imkursk.ru</w:t>
      </w:r>
    </w:p>
    <w:p w14:paraId="09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Оператор электронной площадки: электронная торговая площадка АО «Российский аукционный дом» (АО «РАД») (далее – Оператор электронной площадки), размещенная на сайте в информационно-телекоммуникационной сети «Интернет» по адресу: https://lot-online.ru/</w:t>
      </w:r>
      <w:r>
        <w:rPr>
          <w:rFonts w:ascii="PT Astra Serif" w:hAnsi="PT Astra Serif"/>
          <w:sz w:val="26"/>
        </w:rPr>
        <w:t>.</w:t>
      </w:r>
    </w:p>
    <w:p w14:paraId="0A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Адрес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Оператора электронной площадки</w:t>
      </w:r>
      <w:r>
        <w:rPr>
          <w:rFonts w:ascii="PT Astra Serif" w:hAnsi="PT Astra Serif"/>
          <w:sz w:val="26"/>
        </w:rPr>
        <w:t>: 190000,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Санкт-Петербург, переулок </w:t>
      </w:r>
      <w:r>
        <w:rPr>
          <w:rFonts w:ascii="PT Astra Serif" w:hAnsi="PT Astra Serif"/>
          <w:sz w:val="26"/>
        </w:rPr>
        <w:t>Гривцова</w:t>
      </w:r>
      <w:r>
        <w:rPr>
          <w:rFonts w:ascii="PT Astra Serif" w:hAnsi="PT Astra Serif"/>
          <w:sz w:val="26"/>
        </w:rPr>
        <w:t xml:space="preserve">, д. 5, лит. </w:t>
      </w:r>
      <w:r>
        <w:rPr>
          <w:rFonts w:ascii="PT Astra Serif" w:hAnsi="PT Astra Serif"/>
          <w:sz w:val="26"/>
        </w:rPr>
        <w:t>В</w:t>
      </w:r>
      <w:r>
        <w:rPr>
          <w:rFonts w:ascii="PT Astra Serif" w:hAnsi="PT Astra Serif"/>
          <w:sz w:val="26"/>
        </w:rPr>
        <w:t xml:space="preserve">, тел: 8 (800) 777 - 57 </w:t>
      </w:r>
      <w:r>
        <w:rPr>
          <w:rFonts w:ascii="PT Astra Serif" w:hAnsi="PT Astra Serif"/>
          <w:sz w:val="26"/>
        </w:rPr>
        <w:t>–</w:t>
      </w:r>
      <w:r>
        <w:rPr>
          <w:rFonts w:ascii="PT Astra Serif" w:hAnsi="PT Astra Serif"/>
          <w:sz w:val="26"/>
        </w:rPr>
        <w:t xml:space="preserve"> 57</w:t>
      </w:r>
    </w:p>
    <w:p w14:paraId="0B000000">
      <w:pPr>
        <w:widowControl w:val="1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sz w:val="26"/>
        </w:rPr>
        <w:t xml:space="preserve">Электронный Аукцион проводится на основании </w:t>
      </w:r>
      <w:r>
        <w:rPr>
          <w:rFonts w:ascii="PT Astra Serif" w:hAnsi="PT Astra Serif"/>
          <w:color w:val="000000"/>
          <w:sz w:val="26"/>
        </w:rPr>
        <w:t>решени</w:t>
      </w:r>
      <w:r>
        <w:rPr>
          <w:rFonts w:ascii="PT Astra Serif" w:hAnsi="PT Astra Serif"/>
          <w:color w:val="000000"/>
          <w:sz w:val="26"/>
        </w:rPr>
        <w:t>я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Министерства </w:t>
      </w:r>
      <w:r>
        <w:rPr>
          <w:rFonts w:ascii="PT Astra Serif" w:hAnsi="PT Astra Serif"/>
          <w:color w:val="000000"/>
          <w:sz w:val="26"/>
        </w:rPr>
        <w:t>градостроительной политики,</w:t>
      </w:r>
      <w:r>
        <w:rPr>
          <w:rFonts w:ascii="PT Astra Serif" w:hAnsi="PT Astra Serif"/>
          <w:color w:val="000000"/>
          <w:sz w:val="26"/>
        </w:rPr>
        <w:t xml:space="preserve"> имущественных и земельных отношений </w:t>
      </w:r>
      <w:r>
        <w:rPr>
          <w:rFonts w:ascii="PT Astra Serif" w:hAnsi="PT Astra Serif"/>
          <w:color w:val="000000"/>
          <w:sz w:val="26"/>
        </w:rPr>
        <w:t xml:space="preserve">Курской области </w:t>
      </w:r>
      <w:r>
        <w:rPr>
          <w:rFonts w:ascii="PT Astra Serif" w:hAnsi="PT Astra Serif"/>
          <w:color w:val="000000"/>
          <w:sz w:val="26"/>
        </w:rPr>
        <w:t xml:space="preserve">от </w:t>
      </w:r>
      <w:r>
        <w:rPr>
          <w:rFonts w:ascii="PT Astra Serif" w:hAnsi="PT Astra Serif"/>
          <w:color w:val="000000"/>
          <w:sz w:val="24"/>
        </w:rPr>
        <w:t>26.10.2026</w:t>
      </w: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z w:val="24"/>
        </w:rPr>
        <w:t xml:space="preserve">№ </w:t>
      </w:r>
      <w:r>
        <w:rPr>
          <w:rFonts w:ascii="PT Astra Serif" w:hAnsi="PT Astra Serif"/>
          <w:color w:val="000000"/>
          <w:sz w:val="24"/>
        </w:rPr>
        <w:t>01.01-02/890</w:t>
      </w:r>
      <w:r>
        <w:rPr>
          <w:rFonts w:ascii="PT Astra Serif" w:hAnsi="PT Astra Serif"/>
          <w:color w:val="000000"/>
          <w:sz w:val="24"/>
        </w:rPr>
        <w:t>.</w:t>
      </w:r>
    </w:p>
    <w:p w14:paraId="0C000000">
      <w:pPr>
        <w:widowControl w:val="1"/>
        <w:spacing w:after="0" w:line="240" w:lineRule="auto"/>
        <w:ind w:firstLine="198" w:left="426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Электронный </w:t>
      </w:r>
      <w:r>
        <w:rPr>
          <w:rFonts w:ascii="PT Astra Serif" w:hAnsi="PT Astra Serif"/>
          <w:sz w:val="26"/>
        </w:rPr>
        <w:t>а</w:t>
      </w:r>
      <w:r>
        <w:rPr>
          <w:rFonts w:ascii="PT Astra Serif" w:hAnsi="PT Astra Serif"/>
          <w:sz w:val="26"/>
        </w:rPr>
        <w:t xml:space="preserve">укцион состоит из </w:t>
      </w:r>
      <w:r>
        <w:rPr>
          <w:rFonts w:ascii="PT Astra Serif" w:hAnsi="PT Astra Serif"/>
          <w:sz w:val="26"/>
        </w:rPr>
        <w:t>1</w:t>
      </w:r>
      <w:r>
        <w:rPr>
          <w:rFonts w:ascii="PT Astra Serif" w:hAnsi="PT Astra Serif"/>
          <w:sz w:val="26"/>
        </w:rPr>
        <w:t xml:space="preserve"> (</w:t>
      </w:r>
      <w:r>
        <w:rPr>
          <w:rFonts w:ascii="PT Astra Serif" w:hAnsi="PT Astra Serif"/>
          <w:sz w:val="26"/>
        </w:rPr>
        <w:t>одного</w:t>
      </w:r>
      <w:r>
        <w:rPr>
          <w:rFonts w:ascii="PT Astra Serif" w:hAnsi="PT Astra Serif"/>
          <w:sz w:val="26"/>
        </w:rPr>
        <w:t xml:space="preserve">) </w:t>
      </w:r>
      <w:r>
        <w:rPr>
          <w:rFonts w:ascii="PT Astra Serif" w:hAnsi="PT Astra Serif"/>
          <w:sz w:val="26"/>
        </w:rPr>
        <w:t>Лота</w:t>
      </w:r>
      <w:r>
        <w:rPr>
          <w:rFonts w:ascii="PT Astra Serif" w:hAnsi="PT Astra Serif"/>
          <w:sz w:val="26"/>
        </w:rPr>
        <w:t>.</w:t>
      </w:r>
    </w:p>
    <w:p w14:paraId="0D000000">
      <w:pPr>
        <w:widowControl w:val="1"/>
        <w:spacing w:after="0" w:line="240" w:lineRule="auto"/>
        <w:ind w:firstLine="198" w:left="426"/>
        <w:contextualSpacing w:val="1"/>
        <w:jc w:val="both"/>
        <w:rPr>
          <w:rFonts w:ascii="PT Astra Serif" w:hAnsi="PT Astra Serif"/>
          <w:sz w:val="26"/>
        </w:rPr>
      </w:pPr>
    </w:p>
    <w:p w14:paraId="0E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2.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Место расположения, описание и технические характеристики муниципального имущества (в том числе цветные фотографии в количестве не менее 3 штук), права на которое передаются по договору, включая площадь помещения, здания, строения или сооружения в случае передачи прав на соответствующее недвижимое имущество:</w:t>
      </w:r>
    </w:p>
    <w:p w14:paraId="0F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Лот № 1</w:t>
      </w:r>
    </w:p>
    <w:p w14:paraId="10000000">
      <w:pPr>
        <w:pStyle w:val="Style_4"/>
        <w:widowControl w:val="0"/>
        <w:spacing w:after="0" w:line="240" w:lineRule="auto"/>
        <w:ind w:firstLine="624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Предметом аукциона является право на заключение договора аренды имущества казны </w:t>
      </w:r>
      <w:r>
        <w:rPr>
          <w:rFonts w:ascii="PT Astra Serif" w:hAnsi="PT Astra Serif"/>
          <w:sz w:val="26"/>
        </w:rPr>
        <w:t xml:space="preserve">на </w:t>
      </w:r>
      <w:r>
        <w:rPr>
          <w:rFonts w:ascii="PT Astra Serif" w:hAnsi="PT Astra Serif"/>
          <w:sz w:val="26"/>
        </w:rPr>
        <w:t>н</w:t>
      </w:r>
      <w:r>
        <w:rPr>
          <w:rFonts w:ascii="PT Astra Serif" w:hAnsi="PT Astra Serif"/>
          <w:sz w:val="26"/>
        </w:rPr>
        <w:t>ежилое помещение, площадью 21,7 кв.м., входящее в состав нежилого помещения с кадастровым номером 46:29:103197:280, в здании, расположенном по адресу: г. Курск,                        ул. Магистральная, 17, помещения №№ 7,8, на 2 этаже</w:t>
      </w:r>
      <w:r>
        <w:rPr>
          <w:rFonts w:ascii="PT Astra Serif" w:hAnsi="PT Astra Serif"/>
          <w:sz w:val="26"/>
        </w:rPr>
        <w:t>.</w:t>
      </w:r>
    </w:p>
    <w:p w14:paraId="11000000">
      <w:pPr>
        <w:widowControl w:val="1"/>
        <w:spacing w:line="240" w:lineRule="auto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Нежилое помещение включено в перечень государственного имущества Курской области, предназначенного для передачи во владение и (или) пользование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утвержденный решением Министерства градостроительной политики, имущественных и земельных отношений Курской области от 26.03.2026                                                                     № 01.01-02/166. </w:t>
      </w:r>
    </w:p>
    <w:p w14:paraId="12000000">
      <w:pPr>
        <w:widowControl w:val="1"/>
        <w:spacing w:line="240" w:lineRule="auto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Участниками аукциона могут являться только субъекты малого и среднего предпринимательства, за исключением субъектов малого и среднего предпринимательства, в отношении которых не может оказываться поддержка в соответствии с частью 3 статьи 14 Федерального закона от 24.07.2007г. № 209-ФЗ «О развитии малого и среднего предпринимательства в Российской Федерации».</w:t>
      </w:r>
    </w:p>
    <w:p w14:paraId="13000000">
      <w:pPr>
        <w:widowControl w:val="1"/>
        <w:ind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6"/>
        </w:rPr>
        <w:t>3.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Целевое назначение государственного имущества, права на которое передаются по договору:</w:t>
      </w:r>
    </w:p>
    <w:p w14:paraId="14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sz w:val="26"/>
        </w:rPr>
        <w:t>Н</w:t>
      </w:r>
      <w:r>
        <w:rPr>
          <w:rFonts w:ascii="PT Astra Serif" w:hAnsi="PT Astra Serif"/>
          <w:sz w:val="26"/>
        </w:rPr>
        <w:t xml:space="preserve">ежилое </w:t>
      </w:r>
      <w:r>
        <w:rPr>
          <w:rFonts w:ascii="PT Astra Serif" w:hAnsi="PT Astra Serif"/>
          <w:sz w:val="26"/>
        </w:rPr>
        <w:t>помещение</w:t>
      </w:r>
      <w:r>
        <w:rPr>
          <w:rFonts w:ascii="PT Astra Serif" w:hAnsi="PT Astra Serif"/>
          <w:sz w:val="26"/>
        </w:rPr>
        <w:t>.</w:t>
      </w:r>
      <w:r>
        <w:rPr>
          <w:rFonts w:ascii="PT Astra Serif" w:hAnsi="PT Astra Serif"/>
          <w:b w:val="1"/>
          <w:sz w:val="26"/>
        </w:rPr>
        <w:t xml:space="preserve"> </w:t>
      </w:r>
    </w:p>
    <w:p w14:paraId="15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4. </w:t>
      </w:r>
      <w:r>
        <w:rPr>
          <w:rFonts w:ascii="PT Astra Serif" w:hAnsi="PT Astra Serif"/>
          <w:b w:val="1"/>
          <w:sz w:val="26"/>
        </w:rPr>
        <w:t xml:space="preserve">Начальная (минимальная) цена договора (цену лота) с указанием при необходимости начальной (минимальной) цены договора (цены лота) за единицу площади государственного или муниципального имущества, </w:t>
      </w:r>
      <w:r>
        <w:rPr>
          <w:rFonts w:ascii="PT Astra Serif" w:hAnsi="PT Astra Serif"/>
          <w:b w:val="1"/>
          <w:sz w:val="26"/>
        </w:rPr>
        <w:t>права</w:t>
      </w:r>
      <w:r>
        <w:rPr>
          <w:rFonts w:ascii="PT Astra Serif" w:hAnsi="PT Astra Serif"/>
          <w:b w:val="1"/>
          <w:sz w:val="26"/>
        </w:rPr>
        <w:t xml:space="preserve"> на которое передаются по договору, в размере ежемесячного или ежегодного платежа за право владения или пользования указанным имуществом, в размере платежа за право заключить договор безвозмездного пользования указанным имуществом:</w:t>
      </w:r>
    </w:p>
    <w:p w14:paraId="16000000">
      <w:pPr>
        <w:pStyle w:val="Style_5"/>
        <w:widowControl w:val="1"/>
        <w:spacing w:line="240" w:lineRule="auto"/>
        <w:ind w:firstLine="624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Начальная цена годовой арендной платы с НДС</w:t>
      </w:r>
      <w:r>
        <w:rPr>
          <w:rFonts w:ascii="PT Astra Serif" w:hAnsi="PT Astra Serif"/>
          <w:color w:val="000000"/>
          <w:sz w:val="26"/>
        </w:rPr>
        <w:t xml:space="preserve"> –</w:t>
      </w:r>
      <w:r>
        <w:rPr>
          <w:rFonts w:ascii="PT Astra Serif" w:hAnsi="PT Astra Serif"/>
          <w:b w:val="1"/>
          <w:color w:val="000000"/>
          <w:sz w:val="26"/>
        </w:rPr>
        <w:t>66 934</w:t>
      </w:r>
      <w:r>
        <w:rPr>
          <w:rFonts w:ascii="PT Astra Serif" w:hAnsi="PT Astra Serif"/>
          <w:b w:val="1"/>
          <w:color w:val="000000"/>
          <w:sz w:val="26"/>
        </w:rPr>
        <w:t xml:space="preserve"> (шестьдесят шесть тысяч девятьсот тридцать четыре</w:t>
      </w:r>
      <w:r>
        <w:rPr>
          <w:rFonts w:ascii="PT Astra Serif" w:hAnsi="PT Astra Serif"/>
          <w:b w:val="1"/>
          <w:color w:val="000000"/>
          <w:sz w:val="26"/>
        </w:rPr>
        <w:t>) руб. 08 коп.</w:t>
      </w:r>
    </w:p>
    <w:p w14:paraId="17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Размер задатка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color w:val="000000"/>
          <w:sz w:val="26"/>
        </w:rPr>
        <w:t xml:space="preserve">устанавливается в размере: </w:t>
      </w:r>
      <w:r>
        <w:rPr>
          <w:rFonts w:ascii="PT Astra Serif" w:hAnsi="PT Astra Serif"/>
          <w:b w:val="1"/>
          <w:color w:val="000000"/>
          <w:sz w:val="26"/>
        </w:rPr>
        <w:t>13 386,82</w:t>
      </w:r>
      <w:r>
        <w:rPr>
          <w:rFonts w:ascii="PT Astra Serif" w:hAnsi="PT Astra Serif"/>
          <w:b w:val="1"/>
          <w:color w:val="000000"/>
          <w:sz w:val="26"/>
        </w:rPr>
        <w:t xml:space="preserve"> руб</w:t>
      </w:r>
      <w:r>
        <w:rPr>
          <w:rFonts w:ascii="PT Astra Serif" w:hAnsi="PT Astra Serif"/>
          <w:b w:val="1"/>
          <w:color w:val="000000"/>
          <w:sz w:val="26"/>
        </w:rPr>
        <w:t>. (20%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>от начальной (минимальной) цены договора.</w:t>
      </w:r>
    </w:p>
    <w:p w14:paraId="18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b w:val="1"/>
          <w:color w:themeColor="text1" w:val="000000"/>
          <w:sz w:val="26"/>
        </w:rPr>
        <w:t>5.</w:t>
      </w:r>
      <w:r>
        <w:rPr>
          <w:rFonts w:ascii="PT Astra Serif" w:hAnsi="PT Astra Serif"/>
          <w:color w:themeColor="text1" w:val="000000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Срок действия договора:</w:t>
      </w:r>
      <w:r>
        <w:rPr>
          <w:rFonts w:ascii="PT Astra Serif" w:hAnsi="PT Astra Serif"/>
          <w:b w:val="1"/>
          <w:sz w:val="26"/>
        </w:rPr>
        <w:t xml:space="preserve"> </w:t>
      </w:r>
      <w:r>
        <w:rPr>
          <w:rFonts w:ascii="PT Astra Serif" w:hAnsi="PT Astra Serif"/>
          <w:b w:val="0"/>
          <w:sz w:val="26"/>
        </w:rPr>
        <w:t>364 дня.</w:t>
      </w:r>
    </w:p>
    <w:p w14:paraId="19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6. </w:t>
      </w:r>
      <w:r>
        <w:rPr>
          <w:rFonts w:ascii="PT Astra Serif" w:hAnsi="PT Astra Serif"/>
          <w:b w:val="1"/>
          <w:sz w:val="26"/>
        </w:rPr>
        <w:t xml:space="preserve">Порядок, дата и время окончания срока подачи заявок на участие в </w:t>
      </w:r>
      <w:r>
        <w:rPr>
          <w:rFonts w:ascii="PT Astra Serif" w:hAnsi="PT Astra Serif"/>
          <w:b w:val="1"/>
          <w:sz w:val="26"/>
        </w:rPr>
        <w:t>аукционе</w:t>
      </w:r>
      <w:r>
        <w:rPr>
          <w:rFonts w:ascii="PT Astra Serif" w:hAnsi="PT Astra Serif"/>
          <w:b w:val="1"/>
          <w:sz w:val="26"/>
        </w:rPr>
        <w:t>:</w:t>
      </w:r>
    </w:p>
    <w:p w14:paraId="1A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Извещение о проведен</w:t>
      </w:r>
      <w:r>
        <w:rPr>
          <w:rFonts w:ascii="PT Astra Serif" w:hAnsi="PT Astra Serif"/>
          <w:sz w:val="26"/>
        </w:rPr>
        <w:t>ии ау</w:t>
      </w:r>
      <w:r>
        <w:rPr>
          <w:rFonts w:ascii="PT Astra Serif" w:hAnsi="PT Astra Serif"/>
          <w:sz w:val="26"/>
        </w:rPr>
        <w:t xml:space="preserve">кциона </w:t>
      </w:r>
      <w:r>
        <w:rPr>
          <w:rFonts w:ascii="PT Astra Serif" w:hAnsi="PT Astra Serif"/>
          <w:sz w:val="26"/>
        </w:rPr>
        <w:t xml:space="preserve">размещается на официальном сайте не менее чем за двадцать дней до дня окончания подачи заявок на участие в аукционе. </w:t>
      </w:r>
    </w:p>
    <w:p w14:paraId="1B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Датой начала срока подачи заявок на участие в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является день, следующий за днем размещения на официальном сайте извещения о проведении аукциона. Местом подачи заявок на участие в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является электронная площадка.</w:t>
      </w:r>
    </w:p>
    <w:p w14:paraId="1C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Для участия в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Заявители подают заявку в электронной форме с указанием    банковских реквизитов счета для возврата задатка, размещенной в открытой части электронной площадки, с приложением электронных образов следующих документов: </w:t>
      </w:r>
    </w:p>
    <w:p w14:paraId="1D000000">
      <w:pPr>
        <w:widowControl w:val="0"/>
        <w:spacing w:after="0" w:line="240" w:lineRule="auto"/>
        <w:ind w:firstLine="122" w:left="502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- копии всех листов документов, удостоверяющих личность Заявителя (для физических лиц);</w:t>
      </w:r>
    </w:p>
    <w:p w14:paraId="1E000000">
      <w:pPr>
        <w:widowControl w:val="0"/>
        <w:spacing w:after="0" w:line="240" w:lineRule="auto"/>
        <w:ind w:firstLine="122" w:left="502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-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F000000">
      <w:pPr>
        <w:widowControl w:val="0"/>
        <w:spacing w:after="0" w:line="240" w:lineRule="auto"/>
        <w:ind w:firstLine="122" w:left="502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- документы, подтверждающие внесение задатка. </w:t>
      </w:r>
    </w:p>
    <w:p w14:paraId="20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Представление документов, подтверждающих внесение задатка, признается заключением соглашения о задатке.</w:t>
      </w:r>
    </w:p>
    <w:p w14:paraId="21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Заявка на участие в </w:t>
      </w:r>
      <w:r>
        <w:rPr>
          <w:rFonts w:ascii="PT Astra Serif" w:hAnsi="PT Astra Serif"/>
          <w:color w:val="000000"/>
          <w:sz w:val="26"/>
        </w:rPr>
        <w:t>аукционе</w:t>
      </w:r>
      <w:r>
        <w:rPr>
          <w:rFonts w:ascii="PT Astra Serif" w:hAnsi="PT Astra Serif"/>
          <w:color w:val="000000"/>
          <w:sz w:val="26"/>
        </w:rPr>
        <w:t>, а также прилагаемые к ней документы подписываются усиленной квалифицированной электронной подписью Заявителя.</w:t>
      </w:r>
    </w:p>
    <w:p w14:paraId="22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В случае</w:t>
      </w:r>
      <w:r>
        <w:rPr>
          <w:rFonts w:ascii="PT Astra Serif" w:hAnsi="PT Astra Serif"/>
          <w:color w:val="000000"/>
          <w:sz w:val="26"/>
        </w:rPr>
        <w:t>,</w:t>
      </w:r>
      <w:r>
        <w:rPr>
          <w:rFonts w:ascii="PT Astra Serif" w:hAnsi="PT Astra Serif"/>
          <w:color w:val="000000"/>
          <w:sz w:val="26"/>
        </w:rPr>
        <w:t xml:space="preserve"> если от имени Заявителя действует его представитель по доверенности, к заявке должна быть приложена доверенность на осуществление действий от имени Заявителя,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Заявителя подписана лицом, уполномоченным руководителем юридического лица, заявка должна содержать также документ, подтверждающий полномочия этого лица.  </w:t>
      </w:r>
    </w:p>
    <w:p w14:paraId="23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sz w:val="26"/>
        </w:rPr>
        <w:t xml:space="preserve">Подача заявки осуществляется только посредством интерфейса электронной площадки </w:t>
      </w:r>
      <w:r>
        <w:rPr>
          <w:rFonts w:ascii="PT Astra Serif" w:hAnsi="PT Astra Serif"/>
          <w:sz w:val="26"/>
        </w:rPr>
        <w:t>https://lot-online.ru/</w:t>
      </w:r>
      <w:r>
        <w:rPr>
          <w:rFonts w:ascii="PT Astra Serif" w:hAnsi="PT Astra Serif"/>
          <w:color w:val="000000"/>
          <w:sz w:val="26"/>
        </w:rPr>
        <w:t xml:space="preserve"> (раздел «Продажи») из личного кабинета </w:t>
      </w:r>
      <w:r>
        <w:rPr>
          <w:rFonts w:ascii="PT Astra Serif" w:hAnsi="PT Astra Serif"/>
          <w:color w:val="000000"/>
          <w:sz w:val="26"/>
        </w:rPr>
        <w:t>Заявителя</w:t>
      </w:r>
      <w:r>
        <w:rPr>
          <w:rFonts w:ascii="PT Astra Serif" w:hAnsi="PT Astra Serif"/>
          <w:color w:val="000000"/>
          <w:sz w:val="26"/>
        </w:rPr>
        <w:t>.</w:t>
      </w:r>
    </w:p>
    <w:p w14:paraId="24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Одно лицо имеет право подать только одну заявку по каждому лоту, выставленному на аукцион. </w:t>
      </w:r>
    </w:p>
    <w:p w14:paraId="25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Заявки подаются на электронную площадку, начиная с даты и времени начала приема заявок до даты и времени окончания приема заявок, указанных в информационном сообщении.</w:t>
      </w:r>
    </w:p>
    <w:p w14:paraId="26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14:paraId="27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При приеме заявок оператор обеспечивает конфиденциальность данных о Заявителях, за исключением случаев направления электронных документов Организатору аукциона; обеспечивает конфиденциальность сведений о поступивших заявках и прилагаемых к ним документах, а также сведений о лицах, подавших заявки, за исключением случаев доступа Организатора аукциона к заявкам и документам, до момента размещения на электронной площадке информации об итогах приема заявок (определения участников).    </w:t>
      </w:r>
    </w:p>
    <w:p w14:paraId="28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 течение одного часа со времени поступления заявки оператор сообщает </w:t>
      </w:r>
      <w:r>
        <w:rPr>
          <w:rFonts w:ascii="PT Astra Serif" w:hAnsi="PT Astra Serif"/>
          <w:color w:val="000000"/>
          <w:sz w:val="26"/>
        </w:rPr>
        <w:t>Заявителю</w:t>
      </w:r>
      <w:r>
        <w:rPr>
          <w:rFonts w:ascii="PT Astra Serif" w:hAnsi="PT Astra Serif"/>
          <w:sz w:val="26"/>
        </w:rPr>
        <w:t xml:space="preserve">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9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Заявитель вправе не позднее дня окончания срока приема заявок отозвать заявку путем направления уведомления об отзыве заявки на электронную площадку.</w:t>
      </w:r>
    </w:p>
    <w:p w14:paraId="2A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В случае отзыва Заявителем заявки в установленном порядке, уведомление об отзыве вместе с заявкой в течение одного часа поступает в «личный кабинет» организатора, о чем заявителю направляется соответствующее уведомление. </w:t>
      </w:r>
    </w:p>
    <w:p w14:paraId="2B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sz w:val="26"/>
        </w:rPr>
        <w:t xml:space="preserve">Изменение заявки допускается только путем подачи </w:t>
      </w:r>
      <w:r>
        <w:rPr>
          <w:rFonts w:ascii="PT Astra Serif" w:hAnsi="PT Astra Serif"/>
          <w:color w:val="000000"/>
          <w:sz w:val="26"/>
        </w:rPr>
        <w:t>Заявителем</w:t>
      </w:r>
      <w:r>
        <w:rPr>
          <w:rFonts w:ascii="PT Astra Serif" w:hAnsi="PT Astra Serif"/>
          <w:sz w:val="26"/>
        </w:rPr>
        <w:t xml:space="preserve"> новой заявки в установленные в информационном </w:t>
      </w:r>
      <w:r>
        <w:rPr>
          <w:rFonts w:ascii="PT Astra Serif" w:hAnsi="PT Astra Serif"/>
          <w:sz w:val="26"/>
        </w:rPr>
        <w:t>сообщении</w:t>
      </w:r>
      <w:r>
        <w:rPr>
          <w:rFonts w:ascii="PT Astra Serif" w:hAnsi="PT Astra Serif"/>
          <w:sz w:val="26"/>
        </w:rPr>
        <w:t xml:space="preserve"> сроки о проведении аукциона, при этом первоначальная заявка должна быть отозвана.</w:t>
      </w:r>
      <w:r>
        <w:rPr>
          <w:rFonts w:ascii="PT Astra Serif" w:hAnsi="PT Astra Serif"/>
          <w:sz w:val="26"/>
        </w:rPr>
        <w:t xml:space="preserve"> </w:t>
      </w:r>
    </w:p>
    <w:p w14:paraId="2C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Заявки на участие в электронном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принимаются ежедневно.</w:t>
      </w:r>
    </w:p>
    <w:p w14:paraId="2D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sz w:val="26"/>
        </w:rPr>
        <w:t>Дата и время окончания приема заявок: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>1</w:t>
      </w:r>
      <w:r>
        <w:rPr>
          <w:rFonts w:ascii="PT Astra Serif" w:hAnsi="PT Astra Serif"/>
          <w:b w:val="1"/>
          <w:color w:val="000000"/>
          <w:sz w:val="26"/>
        </w:rPr>
        <w:t>7</w:t>
      </w:r>
      <w:r>
        <w:rPr>
          <w:rFonts w:ascii="PT Astra Serif" w:hAnsi="PT Astra Serif"/>
          <w:b w:val="1"/>
          <w:color w:val="000000"/>
          <w:sz w:val="26"/>
        </w:rPr>
        <w:t xml:space="preserve"> часов 00 минут по московскому времени  30 ноября</w:t>
      </w:r>
      <w:r>
        <w:rPr>
          <w:rFonts w:ascii="PT Astra Serif" w:hAnsi="PT Astra Serif"/>
          <w:b w:val="1"/>
          <w:color w:val="000000"/>
          <w:sz w:val="26"/>
        </w:rPr>
        <w:t xml:space="preserve"> 2026 г.</w:t>
      </w:r>
    </w:p>
    <w:p w14:paraId="2E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color w:val="000000"/>
          <w:sz w:val="26"/>
        </w:rPr>
        <w:t xml:space="preserve">10. </w:t>
      </w:r>
      <w:r>
        <w:rPr>
          <w:rFonts w:ascii="PT Astra Serif" w:hAnsi="PT Astra Serif"/>
          <w:b w:val="1"/>
          <w:color w:val="000000"/>
          <w:sz w:val="26"/>
        </w:rPr>
        <w:t>Требование о внесении задатка, р</w:t>
      </w:r>
      <w:r>
        <w:rPr>
          <w:rFonts w:ascii="PT Astra Serif" w:hAnsi="PT Astra Serif"/>
          <w:b w:val="1"/>
          <w:sz w:val="26"/>
        </w:rPr>
        <w:t>азмер задатка, срок и порядок внесения задатка, реквизиты счета для перечисления задатка:</w:t>
      </w:r>
    </w:p>
    <w:p w14:paraId="2F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Задаток в </w:t>
      </w:r>
      <w:r>
        <w:rPr>
          <w:rFonts w:ascii="PT Astra Serif" w:hAnsi="PT Astra Serif"/>
          <w:color w:val="000000"/>
          <w:sz w:val="26"/>
        </w:rPr>
        <w:t>размере</w:t>
      </w:r>
      <w:r>
        <w:rPr>
          <w:rFonts w:ascii="PT Astra Serif" w:hAnsi="PT Astra Serif"/>
          <w:color w:val="000000"/>
          <w:sz w:val="26"/>
        </w:rPr>
        <w:t xml:space="preserve"> 20 % от начальной цены предмета аукциона -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 xml:space="preserve">13 386 </w:t>
      </w:r>
      <w:r>
        <w:rPr>
          <w:rFonts w:ascii="PT Astra Serif" w:hAnsi="PT Astra Serif"/>
          <w:b w:val="1"/>
          <w:color w:val="000000"/>
          <w:sz w:val="26"/>
        </w:rPr>
        <w:t>(тринадцать тысяч триста восемьдесят шесть) руб. 82 коп</w:t>
      </w:r>
      <w:r>
        <w:rPr>
          <w:rFonts w:ascii="PT Astra Serif" w:hAnsi="PT Astra Serif"/>
          <w:b w:val="1"/>
          <w:color w:val="000000"/>
          <w:sz w:val="26"/>
        </w:rPr>
        <w:t>.</w:t>
      </w:r>
    </w:p>
    <w:p w14:paraId="30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Задаток вносится до даты подачи заявки путем безналичного перечисления на реквизиты расчетного счета оператора электронной площадки. </w:t>
      </w:r>
    </w:p>
    <w:p w14:paraId="31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Реквизиты счета для перечисления задатка:</w:t>
      </w:r>
    </w:p>
    <w:p w14:paraId="32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АО «Российский аукционный дом»</w:t>
      </w:r>
    </w:p>
    <w:p w14:paraId="33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ИНН 7838430413     </w:t>
      </w:r>
    </w:p>
    <w:p w14:paraId="34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КПП 783801001</w:t>
      </w:r>
    </w:p>
    <w:p w14:paraId="35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Номер расчетного счета: 40702810055040010531</w:t>
      </w:r>
    </w:p>
    <w:p w14:paraId="36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Наименование банка: СЕВЕРО-ЗАПАДНЫЙ БАНК ПАО СБЕРБАНК</w:t>
      </w:r>
    </w:p>
    <w:p w14:paraId="37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БИК банка: </w:t>
      </w:r>
      <w:r>
        <w:rPr>
          <w:rFonts w:ascii="PT Astra Serif" w:hAnsi="PT Astra Serif"/>
          <w:sz w:val="26"/>
        </w:rPr>
        <w:t>044030653</w:t>
      </w:r>
    </w:p>
    <w:p w14:paraId="38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К/с банка:</w:t>
      </w:r>
      <w:r>
        <w:rPr>
          <w:rFonts w:ascii="PT Astra Serif" w:hAnsi="PT Astra Serif"/>
          <w:sz w:val="26"/>
        </w:rPr>
        <w:t xml:space="preserve"> 30101810500000000653</w:t>
      </w:r>
    </w:p>
    <w:p w14:paraId="39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Назначение платежа – «Оплата за участие в электронном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на право заключения </w:t>
      </w:r>
      <w:r>
        <w:rPr>
          <w:rFonts w:ascii="PT Astra Serif" w:hAnsi="PT Astra Serif"/>
          <w:sz w:val="26"/>
        </w:rPr>
        <w:t>договора аренды имущества казны</w:t>
      </w:r>
      <w:r>
        <w:rPr>
          <w:rFonts w:ascii="PT Astra Serif" w:hAnsi="PT Astra Serif"/>
          <w:sz w:val="26"/>
        </w:rPr>
        <w:t xml:space="preserve"> Курской области</w:t>
      </w:r>
      <w:r>
        <w:rPr>
          <w:rFonts w:ascii="PT Astra Serif" w:hAnsi="PT Astra Serif"/>
          <w:sz w:val="26"/>
        </w:rPr>
        <w:t>, назначенного на</w:t>
      </w:r>
      <w:r>
        <w:rPr>
          <w:rFonts w:ascii="PT Astra Serif" w:hAnsi="PT Astra Serif"/>
          <w:sz w:val="26"/>
        </w:rPr>
        <w:t xml:space="preserve"> 03 декабря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color w:val="000000"/>
          <w:sz w:val="26"/>
        </w:rPr>
        <w:t>2026 г</w:t>
      </w:r>
      <w:r>
        <w:rPr>
          <w:rFonts w:ascii="PT Astra Serif" w:hAnsi="PT Astra Serif"/>
          <w:color w:val="000000"/>
          <w:sz w:val="26"/>
        </w:rPr>
        <w:t>.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sz w:val="26"/>
        </w:rPr>
        <w:t>по Лоту №____</w:t>
      </w:r>
      <w:r>
        <w:rPr>
          <w:rFonts w:ascii="PT Astra Serif" w:hAnsi="PT Astra Serif"/>
          <w:sz w:val="26"/>
        </w:rPr>
        <w:t xml:space="preserve">». </w:t>
      </w:r>
    </w:p>
    <w:p w14:paraId="3A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Перечисление задатка третьими лицами не допускается.</w:t>
      </w:r>
    </w:p>
    <w:p w14:paraId="3B000000">
      <w:pPr>
        <w:widowControl w:val="1"/>
        <w:spacing w:line="225" w:lineRule="atLeast"/>
        <w:ind w:firstLine="317" w:righ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   </w:t>
      </w:r>
      <w:r>
        <w:rPr>
          <w:rFonts w:ascii="PT Astra Serif" w:hAnsi="PT Astra Serif"/>
          <w:b w:val="1"/>
          <w:color w:val="000000"/>
          <w:sz w:val="26"/>
        </w:rPr>
        <w:t xml:space="preserve">  Заявителями</w:t>
      </w:r>
      <w:r>
        <w:rPr>
          <w:rFonts w:ascii="PT Astra Serif" w:hAnsi="PT Astra Serif"/>
          <w:color w:val="000000"/>
          <w:sz w:val="26"/>
        </w:rPr>
        <w:t xml:space="preserve"> могут являться только субъекты малого и среднего предпринимательства, за исключением субъектов малого и среднего предпринимательства, в отношении которых н</w:t>
      </w:r>
      <w:r>
        <w:rPr>
          <w:rFonts w:ascii="PT Astra Serif" w:hAnsi="PT Astra Serif"/>
          <w:color w:val="000000"/>
          <w:sz w:val="26"/>
        </w:rPr>
        <w:t>е может оказываться поддержка в соответствии с частью 3 статьи 14 Федерального закона от 24.07.2007г. № 209-ФЗ «О развитии малого и среднего предпринимательства в Российской Федерации».</w:t>
      </w:r>
    </w:p>
    <w:p w14:paraId="3C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Для участия в электронном аукционе претендент должен пройти регистрацию на электронной площадке АО «Российский аукционный дом», размещенной на сайте в информационно-телекоммуникационной сети «Интернет» по адресу: </w:t>
      </w:r>
      <w:r>
        <w:rPr>
          <w:rFonts w:ascii="PT Astra Serif" w:hAnsi="PT Astra Serif"/>
          <w:sz w:val="26"/>
        </w:rPr>
        <w:fldChar w:fldCharType="begin"/>
      </w:r>
      <w:r>
        <w:rPr>
          <w:rFonts w:ascii="PT Astra Serif" w:hAnsi="PT Astra Serif"/>
          <w:sz w:val="26"/>
        </w:rPr>
        <w:instrText>HYPERLINK "https://lot-online.ru/"</w:instrText>
      </w:r>
      <w:r>
        <w:rPr>
          <w:rFonts w:ascii="PT Astra Serif" w:hAnsi="PT Astra Serif"/>
          <w:sz w:val="26"/>
        </w:rPr>
        <w:fldChar w:fldCharType="separate"/>
      </w:r>
      <w:r>
        <w:rPr>
          <w:rFonts w:ascii="PT Astra Serif" w:hAnsi="PT Astra Serif"/>
          <w:sz w:val="26"/>
        </w:rPr>
        <w:t>https://lot-online.ru/</w:t>
      </w:r>
      <w:r>
        <w:rPr>
          <w:rFonts w:ascii="PT Astra Serif" w:hAnsi="PT Astra Serif"/>
          <w:sz w:val="26"/>
        </w:rPr>
        <w:fldChar w:fldCharType="end"/>
      </w:r>
      <w:r>
        <w:rPr>
          <w:rFonts w:ascii="PT Astra Serif" w:hAnsi="PT Astra Serif"/>
          <w:sz w:val="26"/>
        </w:rPr>
        <w:t>, получить аккредитацию, а также получить усиленную квалифицированную электронную подпись в аккредитованных удостоверяющих центрах, список которых размещен на ЭТП АО «Российский аукционный дом» в разделе «электронная подпись».</w:t>
      </w:r>
      <w:r>
        <w:rPr>
          <w:rFonts w:ascii="PT Astra Serif" w:hAnsi="PT Astra Serif"/>
          <w:sz w:val="26"/>
        </w:rPr>
        <w:t xml:space="preserve"> Регистрация на электронной площадке осуществляется без взимания платы.</w:t>
      </w:r>
    </w:p>
    <w:p w14:paraId="3D000000">
      <w:pPr>
        <w:widowControl w:val="1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>Участники конкурсов или аукционов должны соответствовать требованиям, установленным законодательством Российской Федерации к таким участникам.</w:t>
      </w:r>
    </w:p>
    <w:p w14:paraId="3E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11. </w:t>
      </w:r>
      <w:r>
        <w:rPr>
          <w:rFonts w:ascii="PT Astra Serif" w:hAnsi="PT Astra Serif"/>
          <w:b w:val="1"/>
          <w:sz w:val="26"/>
        </w:rPr>
        <w:t xml:space="preserve">Дата и время начала рассмотрения заявок на участие в </w:t>
      </w:r>
      <w:r>
        <w:rPr>
          <w:rFonts w:ascii="PT Astra Serif" w:hAnsi="PT Astra Serif"/>
          <w:b w:val="1"/>
          <w:sz w:val="26"/>
        </w:rPr>
        <w:t>аукционе</w:t>
      </w:r>
      <w:r>
        <w:rPr>
          <w:rFonts w:ascii="PT Astra Serif" w:hAnsi="PT Astra Serif"/>
          <w:b w:val="1"/>
          <w:sz w:val="26"/>
        </w:rPr>
        <w:t>:</w:t>
      </w:r>
    </w:p>
    <w:p w14:paraId="3F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Рассмотрение заявок на участие в электронном </w:t>
      </w:r>
      <w:r>
        <w:rPr>
          <w:rFonts w:ascii="PT Astra Serif" w:hAnsi="PT Astra Serif"/>
          <w:color w:val="000000"/>
          <w:sz w:val="26"/>
        </w:rPr>
        <w:t>аукционе</w:t>
      </w:r>
      <w:r>
        <w:rPr>
          <w:rFonts w:ascii="PT Astra Serif" w:hAnsi="PT Astra Serif"/>
          <w:color w:val="000000"/>
          <w:sz w:val="26"/>
        </w:rPr>
        <w:t xml:space="preserve"> и определение участников электронного аукциона состоится</w:t>
      </w:r>
      <w:r>
        <w:rPr>
          <w:rFonts w:ascii="PT Astra Serif" w:hAnsi="PT Astra Serif"/>
          <w:color w:val="000000"/>
          <w:sz w:val="26"/>
        </w:rPr>
        <w:t xml:space="preserve"> 02 декабря</w:t>
      </w:r>
      <w:r>
        <w:rPr>
          <w:rFonts w:ascii="PT Astra Serif" w:hAnsi="PT Astra Serif"/>
          <w:color w:val="000000"/>
          <w:sz w:val="26"/>
        </w:rPr>
        <w:t xml:space="preserve"> 2026 г.</w:t>
      </w:r>
    </w:p>
    <w:p w14:paraId="40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12.</w:t>
      </w:r>
      <w:r>
        <w:rPr>
          <w:rFonts w:ascii="PT Astra Serif" w:hAnsi="PT Astra Serif"/>
          <w:b w:val="1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Величина повышения начальной цены договора («шаг аукциона»):</w:t>
      </w:r>
    </w:p>
    <w:p w14:paraId="41000000">
      <w:pPr>
        <w:widowControl w:val="1"/>
        <w:spacing w:after="0" w:line="240" w:lineRule="auto"/>
        <w:ind w:firstLine="624"/>
        <w:contextualSpacing w:val="1"/>
        <w:jc w:val="both"/>
        <w:rPr>
          <w:rFonts w:ascii="PT Astra Serif" w:hAnsi="PT Astra Serif"/>
          <w:b w:val="1"/>
          <w:color w:themeColor="text1" w:val="000000"/>
          <w:sz w:val="26"/>
        </w:rPr>
      </w:pPr>
      <w:r>
        <w:rPr>
          <w:rFonts w:ascii="PT Astra Serif" w:hAnsi="PT Astra Serif"/>
          <w:b w:val="1"/>
          <w:color w:themeColor="text1" w:val="000000"/>
          <w:sz w:val="26"/>
        </w:rPr>
        <w:t>Лот № 1</w:t>
      </w:r>
    </w:p>
    <w:p w14:paraId="42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Шаг аукциона </w:t>
      </w:r>
      <w:r>
        <w:rPr>
          <w:rFonts w:ascii="PT Astra Serif" w:hAnsi="PT Astra Serif"/>
          <w:sz w:val="26"/>
        </w:rPr>
        <w:t xml:space="preserve">– </w:t>
      </w:r>
      <w:r>
        <w:rPr>
          <w:rFonts w:ascii="PT Astra Serif" w:hAnsi="PT Astra Serif"/>
          <w:color w:val="000000"/>
          <w:sz w:val="26"/>
        </w:rPr>
        <w:t>5% от начальной цены предмета аукциона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>3 346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р</w:t>
      </w:r>
      <w:r>
        <w:rPr>
          <w:rFonts w:ascii="PT Astra Serif" w:hAnsi="PT Astra Serif"/>
          <w:b w:val="1"/>
          <w:sz w:val="26"/>
        </w:rPr>
        <w:t>уб.</w:t>
      </w:r>
      <w:r>
        <w:rPr>
          <w:rFonts w:ascii="PT Astra Serif" w:hAnsi="PT Astra Serif"/>
          <w:b w:val="1"/>
          <w:sz w:val="26"/>
        </w:rPr>
        <w:t xml:space="preserve"> (три тысячи триста сорок шесть) руб. 70 коп.</w:t>
      </w:r>
    </w:p>
    <w:p w14:paraId="43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b w:val="1"/>
          <w:sz w:val="26"/>
        </w:rPr>
        <w:t>13.</w:t>
      </w:r>
      <w:r>
        <w:rPr>
          <w:rFonts w:ascii="PT Astra Serif" w:hAnsi="PT Astra Serif"/>
          <w:b w:val="1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Дата и время начала проведения аукциона:</w:t>
      </w:r>
    </w:p>
    <w:p w14:paraId="44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FB290D"/>
          <w:sz w:val="26"/>
        </w:rPr>
      </w:pPr>
      <w:r>
        <w:rPr>
          <w:rFonts w:ascii="PT Astra Serif" w:hAnsi="PT Astra Serif"/>
          <w:color w:val="000000"/>
          <w:sz w:val="26"/>
        </w:rPr>
        <w:t>Э</w:t>
      </w:r>
      <w:r>
        <w:rPr>
          <w:rFonts w:ascii="PT Astra Serif" w:hAnsi="PT Astra Serif"/>
          <w:color w:val="000000"/>
          <w:sz w:val="26"/>
        </w:rPr>
        <w:t>лектронн</w:t>
      </w:r>
      <w:r>
        <w:rPr>
          <w:rFonts w:ascii="PT Astra Serif" w:hAnsi="PT Astra Serif"/>
          <w:color w:val="000000"/>
          <w:sz w:val="26"/>
        </w:rPr>
        <w:t>ый</w:t>
      </w:r>
      <w:r>
        <w:rPr>
          <w:rFonts w:ascii="PT Astra Serif" w:hAnsi="PT Astra Serif"/>
          <w:color w:val="000000"/>
          <w:sz w:val="26"/>
        </w:rPr>
        <w:t xml:space="preserve"> аукцион на право заключения договора аренды имущества казны </w:t>
      </w:r>
      <w:r>
        <w:rPr>
          <w:rFonts w:ascii="PT Astra Serif" w:hAnsi="PT Astra Serif"/>
          <w:color w:val="000000"/>
          <w:sz w:val="26"/>
        </w:rPr>
        <w:t>Курской области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color w:val="000000"/>
          <w:sz w:val="26"/>
        </w:rPr>
        <w:t>состои</w:t>
      </w:r>
      <w:r>
        <w:rPr>
          <w:rFonts w:ascii="PT Astra Serif" w:hAnsi="PT Astra Serif"/>
          <w:color w:val="000000"/>
          <w:sz w:val="26"/>
        </w:rPr>
        <w:t>тся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>03 декабря</w:t>
      </w:r>
      <w:r>
        <w:rPr>
          <w:rFonts w:ascii="PT Astra Serif" w:hAnsi="PT Astra Serif"/>
          <w:b w:val="1"/>
          <w:color w:val="000000"/>
          <w:sz w:val="26"/>
        </w:rPr>
        <w:t xml:space="preserve"> 2026</w:t>
      </w:r>
      <w:r>
        <w:rPr>
          <w:rFonts w:ascii="PT Astra Serif" w:hAnsi="PT Astra Serif"/>
          <w:b w:val="1"/>
          <w:color w:val="000000"/>
          <w:sz w:val="26"/>
        </w:rPr>
        <w:t xml:space="preserve"> года в 11 часов 00 минут.</w:t>
      </w:r>
    </w:p>
    <w:p w14:paraId="45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b w:val="1"/>
          <w:sz w:val="26"/>
        </w:rPr>
        <w:t xml:space="preserve">14. </w:t>
      </w:r>
      <w:r>
        <w:rPr>
          <w:rFonts w:ascii="PT Astra Serif" w:hAnsi="PT Astra Serif"/>
          <w:b w:val="1"/>
          <w:sz w:val="26"/>
        </w:rPr>
        <w:t>Сроки и порядок оплаты по договору:</w:t>
      </w:r>
      <w:r>
        <w:rPr>
          <w:rFonts w:ascii="PT Astra Serif" w:hAnsi="PT Astra Serif"/>
          <w:sz w:val="26"/>
        </w:rPr>
        <w:t xml:space="preserve"> </w:t>
      </w:r>
    </w:p>
    <w:p w14:paraId="46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</w:t>
      </w:r>
      <w:r>
        <w:rPr>
          <w:rFonts w:ascii="PT Astra Serif" w:hAnsi="PT Astra Serif"/>
          <w:sz w:val="26"/>
        </w:rPr>
        <w:t>рендная плата производится Победителем аукциона путем перечисления денежных средств в бюджет Курской области</w:t>
      </w:r>
      <w:r>
        <w:rPr>
          <w:rFonts w:ascii="PT Astra Serif" w:hAnsi="PT Astra Serif"/>
          <w:color w:val="FB290D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ежемесячно до 10 числа месяца, следующего за отчетным месяцем. </w:t>
      </w:r>
    </w:p>
    <w:p w14:paraId="47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Задаток, внесенный Победителем, засчитывается в счет оплаты арендной платы по Договору.  </w:t>
      </w:r>
    </w:p>
    <w:p w14:paraId="48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уклонении или отказе Победителя аукциона от заключения в установленный срок договора аренды имущества результаты аукциона аннулируются Арендодателем, Победитель утрачивает право на заключение указанного договора, задаток ему не возвращается</w:t>
      </w:r>
      <w:r>
        <w:rPr>
          <w:rFonts w:ascii="PT Astra Serif" w:hAnsi="PT Astra Serif"/>
          <w:sz w:val="26"/>
        </w:rPr>
        <w:t>.</w:t>
      </w:r>
    </w:p>
    <w:p w14:paraId="49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15. </w:t>
      </w:r>
      <w:r>
        <w:rPr>
          <w:rFonts w:ascii="PT Astra Serif" w:hAnsi="PT Astra Serif"/>
          <w:b w:val="1"/>
          <w:sz w:val="26"/>
        </w:rPr>
        <w:t xml:space="preserve">Срок, </w:t>
      </w:r>
      <w:r>
        <w:rPr>
          <w:rFonts w:ascii="PT Astra Serif" w:hAnsi="PT Astra Serif"/>
          <w:b w:val="1"/>
          <w:sz w:val="26"/>
        </w:rPr>
        <w:t xml:space="preserve">в течение которого организатор аукциона вправе отказаться от проведения аукциона: </w:t>
      </w:r>
    </w:p>
    <w:p w14:paraId="4A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</w:t>
      </w:r>
      <w:r>
        <w:rPr>
          <w:rFonts w:ascii="PT Astra Serif" w:hAnsi="PT Astra Serif"/>
          <w:sz w:val="26"/>
        </w:rPr>
        <w:t xml:space="preserve">рганизатор аукциона вправе отказаться от проведения аукциона не </w:t>
      </w:r>
      <w:r>
        <w:rPr>
          <w:rFonts w:ascii="PT Astra Serif" w:hAnsi="PT Astra Serif"/>
          <w:sz w:val="26"/>
        </w:rPr>
        <w:t>позднее</w:t>
      </w:r>
      <w:r>
        <w:rPr>
          <w:rFonts w:ascii="PT Astra Serif" w:hAnsi="PT Astra Serif"/>
          <w:sz w:val="26"/>
        </w:rPr>
        <w:t xml:space="preserve"> чем за пять дней до даты окончания срока подачи заявок на участие в аукционе. </w:t>
      </w:r>
    </w:p>
    <w:p w14:paraId="4B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Извещение об отказе от проведения аукциона формируется организатором аукциона с использованием официального сайта,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</w:t>
      </w:r>
      <w:r>
        <w:rPr>
          <w:rFonts w:ascii="PT Astra Serif" w:hAnsi="PT Astra Serif"/>
          <w:sz w:val="26"/>
        </w:rPr>
        <w:t>позднее</w:t>
      </w:r>
      <w:r>
        <w:rPr>
          <w:rFonts w:ascii="PT Astra Serif" w:hAnsi="PT Astra Serif"/>
          <w:sz w:val="26"/>
        </w:rPr>
        <w:t xml:space="preserve"> чем за пять дней до даты окончания срока подачи заявок на участие в аукционе.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площадке. Денежные средства, внесенные в </w:t>
      </w:r>
      <w:r>
        <w:rPr>
          <w:rFonts w:ascii="PT Astra Serif" w:hAnsi="PT Astra Serif"/>
          <w:sz w:val="26"/>
        </w:rPr>
        <w:t>качестве</w:t>
      </w:r>
      <w:r>
        <w:rPr>
          <w:rFonts w:ascii="PT Astra Serif" w:hAnsi="PT Astra Serif"/>
          <w:sz w:val="26"/>
        </w:rPr>
        <w:t xml:space="preserve"> задатка, возвращаются заявителю в течение пяти рабочих дней с даты размещения извещения об отказе от проведения аукциона на официальном сайте.</w:t>
      </w:r>
    </w:p>
    <w:p w14:paraId="4C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color w:val="000000"/>
          <w:sz w:val="26"/>
        </w:rPr>
        <w:t xml:space="preserve">16. </w:t>
      </w:r>
      <w:r>
        <w:rPr>
          <w:rFonts w:ascii="PT Astra Serif" w:hAnsi="PT Astra Serif"/>
          <w:b w:val="1"/>
          <w:color w:val="000000"/>
          <w:sz w:val="26"/>
        </w:rPr>
        <w:t>С</w:t>
      </w:r>
      <w:r>
        <w:rPr>
          <w:rFonts w:ascii="PT Astra Serif" w:hAnsi="PT Astra Serif"/>
          <w:b w:val="1"/>
          <w:sz w:val="26"/>
        </w:rPr>
        <w:t>рок, в течение которого должен быть подписан проект договора:</w:t>
      </w:r>
    </w:p>
    <w:p w14:paraId="4D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>Победитель аукциона или Единственный участник аукциона обязан подписать договор аренды в срок не ранее чем через десять дней и не позднее чем через пятнадцать дней со дня размещения информации о результатах аукциона на официальном сайте торгов</w:t>
      </w:r>
      <w:r>
        <w:rPr>
          <w:rFonts w:ascii="PT Astra Serif" w:hAnsi="PT Astra Serif"/>
          <w:color w:val="000000"/>
          <w:sz w:val="26"/>
        </w:rPr>
        <w:t>.</w:t>
      </w:r>
      <w:bookmarkStart w:id="1" w:name="_GoBack"/>
      <w:bookmarkEnd w:id="1"/>
    </w:p>
    <w:sectPr>
      <w:headerReference r:id="rId1" w:type="default"/>
      <w:pgSz w:h="16838" w:orient="portrait" w:w="11906"/>
      <w:pgMar w:bottom="567" w:footer="709" w:gutter="0" w:header="709" w:left="1134" w:right="282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4" w:type="paragraph">
    <w:name w:val="List Paragraph"/>
    <w:basedOn w:val="Style_6"/>
    <w:link w:val="Style_4_ch"/>
    <w:pPr>
      <w:widowControl w:val="1"/>
      <w:spacing w:after="160" w:line="259" w:lineRule="auto"/>
      <w:ind w:left="720"/>
      <w:contextualSpacing w:val="1"/>
    </w:pPr>
    <w:rPr>
      <w:rFonts w:ascii="Calibri" w:hAnsi="Calibri"/>
    </w:rPr>
  </w:style>
  <w:style w:styleId="Style_4_ch" w:type="character">
    <w:name w:val="List Paragraph"/>
    <w:basedOn w:val="Style_6_ch"/>
    <w:link w:val="Style_4"/>
    <w:rPr>
      <w:rFonts w:ascii="Calibri" w:hAnsi="Calibri"/>
    </w:rPr>
  </w:style>
  <w:style w:styleId="Style_8" w:type="paragraph">
    <w:name w:val="toc 4"/>
    <w:next w:val="Style_6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3" w:type="paragraph">
    <w:name w:val="orgcontacts-phonenumber"/>
    <w:basedOn w:val="Style_11"/>
    <w:link w:val="Style_3_ch"/>
  </w:style>
  <w:style w:styleId="Style_3_ch" w:type="character">
    <w:name w:val="orgcontacts-phonenumber"/>
    <w:basedOn w:val="Style_11_ch"/>
    <w:link w:val="Style_3"/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6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Body Text Indent 3"/>
    <w:basedOn w:val="Style_6"/>
    <w:link w:val="Style_14_ch"/>
    <w:pPr>
      <w:widowControl w:val="1"/>
      <w:spacing w:after="120"/>
      <w:ind w:left="283"/>
    </w:pPr>
    <w:rPr>
      <w:sz w:val="16"/>
    </w:rPr>
  </w:style>
  <w:style w:styleId="Style_14_ch" w:type="character">
    <w:name w:val="Body Text Indent 3"/>
    <w:basedOn w:val="Style_6_ch"/>
    <w:link w:val="Style_14"/>
    <w:rPr>
      <w:sz w:val="16"/>
    </w:rPr>
  </w:style>
  <w:style w:styleId="Style_15" w:type="paragraph">
    <w:name w:val="toc 3"/>
    <w:next w:val="Style_6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Body Text Indent 2"/>
    <w:basedOn w:val="Style_6"/>
    <w:link w:val="Style_16_ch"/>
    <w:pPr>
      <w:widowControl w:val="1"/>
      <w:spacing w:after="120" w:line="480" w:lineRule="auto"/>
      <w:ind w:left="283"/>
    </w:pPr>
  </w:style>
  <w:style w:styleId="Style_16_ch" w:type="character">
    <w:name w:val="Body Text Indent 2"/>
    <w:basedOn w:val="Style_6_ch"/>
    <w:link w:val="Style_16"/>
  </w:style>
  <w:style w:styleId="Style_5" w:type="paragraph">
    <w:name w:val="ConsPlusNormal"/>
    <w:link w:val="Style_5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5_ch" w:type="character">
    <w:name w:val="ConsPlusNormal"/>
    <w:link w:val="Style_5"/>
    <w:rPr>
      <w:rFonts w:ascii="Arial" w:hAnsi="Arial"/>
      <w:sz w:val="20"/>
    </w:rPr>
  </w:style>
  <w:style w:styleId="Style_17" w:type="paragraph">
    <w:name w:val="Body Text"/>
    <w:basedOn w:val="Style_6"/>
    <w:link w:val="Style_17_ch"/>
    <w:pPr>
      <w:widowControl w:val="1"/>
      <w:spacing w:after="120" w:line="240" w:lineRule="auto"/>
      <w:ind/>
    </w:pPr>
    <w:rPr>
      <w:rFonts w:ascii="Liberation Serif" w:hAnsi="Liberation Serif"/>
      <w:sz w:val="24"/>
    </w:rPr>
  </w:style>
  <w:style w:styleId="Style_17_ch" w:type="character">
    <w:name w:val="Body Text"/>
    <w:basedOn w:val="Style_6_ch"/>
    <w:link w:val="Style_17"/>
    <w:rPr>
      <w:rFonts w:ascii="Liberation Serif" w:hAnsi="Liberation Serif"/>
      <w:sz w:val="24"/>
    </w:rPr>
  </w:style>
  <w:style w:styleId="Style_18" w:type="paragraph">
    <w:name w:val="heading 5"/>
    <w:next w:val="Style_6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ind/>
    </w:pPr>
    <w:rPr>
      <w:rFonts w:ascii="Calibri" w:hAnsi="Calibri"/>
    </w:rPr>
  </w:style>
  <w:style w:styleId="Style_1_ch" w:type="character">
    <w:name w:val="header"/>
    <w:basedOn w:val="Style_6_ch"/>
    <w:link w:val="Style_1"/>
    <w:rPr>
      <w:rFonts w:ascii="Calibri" w:hAnsi="Calibri"/>
    </w:rPr>
  </w:style>
  <w:style w:styleId="Style_19" w:type="paragraph">
    <w:name w:val="heading 1"/>
    <w:next w:val="Style_6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6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6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" w:type="paragraph">
    <w:name w:val="Body Text Indent"/>
    <w:basedOn w:val="Style_6"/>
    <w:link w:val="Style_2_ch"/>
    <w:pPr>
      <w:widowControl w:val="1"/>
      <w:tabs>
        <w:tab w:leader="none" w:pos="0" w:val="left"/>
      </w:tabs>
      <w:spacing w:after="0" w:line="240" w:lineRule="auto"/>
      <w:ind w:firstLine="851"/>
      <w:jc w:val="both"/>
    </w:pPr>
    <w:rPr>
      <w:rFonts w:ascii="Times New Roman" w:hAnsi="Times New Roman"/>
      <w:sz w:val="28"/>
    </w:rPr>
  </w:style>
  <w:style w:styleId="Style_2_ch" w:type="character">
    <w:name w:val="Body Text Indent"/>
    <w:basedOn w:val="Style_6_ch"/>
    <w:link w:val="Style_2"/>
    <w:rPr>
      <w:rFonts w:ascii="Times New Roman" w:hAnsi="Times New Roman"/>
      <w:sz w:val="28"/>
    </w:rPr>
  </w:style>
  <w:style w:styleId="Style_25" w:type="paragraph">
    <w:name w:val="toc 8"/>
    <w:next w:val="Style_6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6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Balloon Text"/>
    <w:basedOn w:val="Style_6"/>
    <w:link w:val="Style_27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6_ch"/>
    <w:link w:val="Style_27"/>
    <w:rPr>
      <w:rFonts w:ascii="Segoe UI" w:hAnsi="Segoe UI"/>
      <w:sz w:val="1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8" w:type="paragraph">
    <w:name w:val="Subtitle"/>
    <w:basedOn w:val="Style_6"/>
    <w:link w:val="Style_28_ch"/>
    <w:uiPriority w:val="11"/>
    <w:qFormat/>
    <w:pPr>
      <w:widowControl w:val="1"/>
      <w:spacing w:after="0" w:line="240" w:lineRule="auto"/>
      <w:ind/>
      <w:jc w:val="center"/>
    </w:pPr>
    <w:rPr>
      <w:rFonts w:ascii="Times New Roman" w:hAnsi="Times New Roman"/>
      <w:b w:val="1"/>
    </w:rPr>
  </w:style>
  <w:style w:styleId="Style_28_ch" w:type="character">
    <w:name w:val="Subtitle"/>
    <w:basedOn w:val="Style_6_ch"/>
    <w:link w:val="Style_28"/>
    <w:rPr>
      <w:rFonts w:ascii="Times New Roman" w:hAnsi="Times New Roman"/>
      <w:b w:val="1"/>
    </w:rPr>
  </w:style>
  <w:style w:styleId="Style_29" w:type="paragraph">
    <w:name w:val="Title"/>
    <w:next w:val="Style_6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2024-03-25T06:30:00Z</dcterms:created>
  <dcterms:modified xsi:type="dcterms:W3CDTF">2026-10-26T09:02:09Z</dcterms:modified>
</cp:coreProperties>
</file>