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709" w:left="0"/>
        <w:jc w:val="both"/>
        <w:rPr>
          <w:highlight w:val="yellow"/>
        </w:rPr>
      </w:pPr>
      <w:r>
        <w:rPr>
          <w:highlight w:val="yellow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2927350</wp:posOffset>
                </wp:positionH>
                <wp:positionV relativeFrom="paragraph">
                  <wp:posOffset>29844</wp:posOffset>
                </wp:positionV>
                <wp:extent cx="2894330" cy="114490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94330" cy="11449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УТВЕРЖДЕНЫ</w:t>
                            </w:r>
                          </w:p>
                          <w:p w14:paraId="04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приказом Министерства финансов и бюджетного контроля</w:t>
                            </w:r>
                          </w:p>
                          <w:p w14:paraId="05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Курской области</w:t>
                            </w:r>
                          </w:p>
                          <w:p w14:paraId="06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от</w:t>
                            </w:r>
                            <w:r>
                              <w:rPr>
                                <w:sz w:val="26"/>
                              </w:rPr>
                              <w:t xml:space="preserve"> 28.09.2026</w:t>
                            </w:r>
                            <w:r>
                              <w:rPr>
                                <w:sz w:val="26"/>
                              </w:rPr>
                              <w:t xml:space="preserve"> № 81н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00000">
      <w:pPr>
        <w:ind w:firstLine="709" w:left="0"/>
        <w:jc w:val="both"/>
        <w:rPr>
          <w:highlight w:val="yellow"/>
        </w:rPr>
      </w:pPr>
    </w:p>
    <w:p w14:paraId="08000000">
      <w:pPr>
        <w:ind w:firstLine="709" w:left="0"/>
        <w:jc w:val="both"/>
        <w:rPr>
          <w:highlight w:val="yellow"/>
        </w:rPr>
      </w:pPr>
    </w:p>
    <w:p w14:paraId="09000000">
      <w:pPr>
        <w:ind w:firstLine="709" w:left="0"/>
        <w:jc w:val="both"/>
        <w:rPr>
          <w:sz w:val="27"/>
          <w:highlight w:val="yellow"/>
        </w:rPr>
      </w:pPr>
    </w:p>
    <w:p w14:paraId="0A000000">
      <w:pPr>
        <w:ind/>
        <w:jc w:val="both"/>
        <w:rPr>
          <w:sz w:val="27"/>
          <w:highlight w:val="yellow"/>
        </w:rPr>
      </w:pPr>
    </w:p>
    <w:p w14:paraId="0B000000">
      <w:pPr>
        <w:ind w:firstLine="709" w:left="0"/>
        <w:jc w:val="both"/>
        <w:rPr>
          <w:sz w:val="27"/>
          <w:highlight w:val="yellow"/>
        </w:rPr>
      </w:pPr>
    </w:p>
    <w:p w14:paraId="0C000000">
      <w:pPr>
        <w:ind/>
        <w:jc w:val="center"/>
        <w:rPr>
          <w:b w:val="1"/>
          <w:sz w:val="27"/>
        </w:rPr>
      </w:pP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>,</w:t>
      </w:r>
    </w:p>
    <w:p w14:paraId="0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котор</w:t>
      </w:r>
      <w:r>
        <w:rPr>
          <w:b w:val="1"/>
          <w:sz w:val="28"/>
        </w:rPr>
        <w:t>ые</w:t>
      </w:r>
      <w:r>
        <w:rPr>
          <w:b w:val="1"/>
          <w:sz w:val="28"/>
        </w:rPr>
        <w:t xml:space="preserve"> внос</w:t>
      </w:r>
      <w:r>
        <w:rPr>
          <w:b w:val="1"/>
          <w:sz w:val="28"/>
        </w:rPr>
        <w:t>я</w:t>
      </w:r>
      <w:r>
        <w:rPr>
          <w:b w:val="1"/>
          <w:sz w:val="28"/>
        </w:rPr>
        <w:t>тся в п</w:t>
      </w:r>
      <w:r>
        <w:rPr>
          <w:b w:val="1"/>
          <w:sz w:val="28"/>
        </w:rPr>
        <w:t xml:space="preserve">риказ </w:t>
      </w:r>
      <w:r>
        <w:rPr>
          <w:b w:val="1"/>
          <w:sz w:val="28"/>
        </w:rPr>
        <w:t>М</w:t>
      </w:r>
      <w:r>
        <w:rPr>
          <w:b w:val="1"/>
          <w:sz w:val="28"/>
        </w:rPr>
        <w:t>инистерства</w:t>
      </w:r>
      <w:r>
        <w:rPr>
          <w:b w:val="1"/>
          <w:sz w:val="28"/>
        </w:rPr>
        <w:t xml:space="preserve"> финансов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и бюджетного контроля</w:t>
      </w:r>
      <w:r>
        <w:rPr>
          <w:b w:val="1"/>
          <w:sz w:val="28"/>
        </w:rPr>
        <w:t xml:space="preserve"> Курской области от </w:t>
      </w:r>
      <w:r>
        <w:rPr>
          <w:b w:val="1"/>
          <w:sz w:val="28"/>
        </w:rPr>
        <w:t>30.01.2026</w:t>
      </w:r>
      <w:r>
        <w:rPr>
          <w:b w:val="1"/>
          <w:sz w:val="28"/>
        </w:rPr>
        <w:t xml:space="preserve"> № </w:t>
      </w:r>
      <w:r>
        <w:rPr>
          <w:b w:val="1"/>
          <w:sz w:val="28"/>
        </w:rPr>
        <w:t>9</w:t>
      </w:r>
      <w:r>
        <w:rPr>
          <w:b w:val="1"/>
          <w:sz w:val="28"/>
        </w:rPr>
        <w:t>н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«Об утверждении Порядка формирования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области»</w:t>
      </w:r>
    </w:p>
    <w:p w14:paraId="0F000000">
      <w:pPr>
        <w:rPr>
          <w:sz w:val="28"/>
        </w:rPr>
      </w:pPr>
    </w:p>
    <w:p w14:paraId="1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Порядке </w:t>
      </w:r>
      <w:r>
        <w:rPr>
          <w:sz w:val="28"/>
        </w:rPr>
        <w:t>формирования и 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области, утвержденном указанным приказом:</w:t>
      </w:r>
    </w:p>
    <w:p w14:paraId="11000000">
      <w:pPr>
        <w:ind w:firstLine="709" w:left="0"/>
        <w:jc w:val="both"/>
        <w:rPr>
          <w:sz w:val="28"/>
        </w:rPr>
      </w:pPr>
      <w:r>
        <w:rPr>
          <w:sz w:val="28"/>
        </w:rPr>
        <w:t>1. </w:t>
      </w:r>
      <w:r>
        <w:rPr>
          <w:sz w:val="28"/>
        </w:rPr>
        <w:t>П</w:t>
      </w:r>
      <w:r>
        <w:rPr>
          <w:rStyle w:val="Style_3_ch"/>
          <w:sz w:val="28"/>
        </w:rPr>
        <w:t>ункт 7 раздела I «Классификация доходов областного бюджета»</w:t>
      </w:r>
      <w:r>
        <w:rPr>
          <w:sz w:val="28"/>
        </w:rPr>
        <w:t xml:space="preserve"> </w:t>
      </w:r>
      <w:r>
        <w:rPr>
          <w:sz w:val="28"/>
        </w:rPr>
        <w:t xml:space="preserve">изложить в </w:t>
      </w:r>
      <w:r>
        <w:rPr>
          <w:sz w:val="28"/>
        </w:rPr>
        <w:t>с</w:t>
      </w:r>
      <w:r>
        <w:rPr>
          <w:sz w:val="28"/>
        </w:rPr>
        <w:t>ледующе</w:t>
      </w:r>
      <w:r>
        <w:rPr>
          <w:sz w:val="28"/>
        </w:rPr>
        <w:t>й</w:t>
      </w:r>
      <w:r>
        <w:rPr>
          <w:sz w:val="28"/>
        </w:rPr>
        <w:t xml:space="preserve"> </w:t>
      </w:r>
      <w:r>
        <w:rPr>
          <w:sz w:val="28"/>
        </w:rPr>
        <w:t>редакции</w:t>
      </w:r>
      <w:r>
        <w:rPr>
          <w:sz w:val="28"/>
        </w:rPr>
        <w:t>:</w:t>
      </w:r>
    </w:p>
    <w:p w14:paraId="12000000">
      <w:pPr>
        <w:ind w:firstLine="709" w:left="0" w:right="-284"/>
        <w:jc w:val="both"/>
        <w:rPr>
          <w:sz w:val="28"/>
        </w:rPr>
      </w:pPr>
      <w:r>
        <w:rPr>
          <w:sz w:val="28"/>
        </w:rPr>
        <w:t xml:space="preserve">«7. В целях упорядочения платежей, поступающих в областной бюджет                       в уплату государственной пошлины, </w:t>
      </w:r>
      <w:r>
        <w:rPr>
          <w:sz w:val="28"/>
        </w:rPr>
        <w:t>администрируемой</w:t>
      </w:r>
      <w:r>
        <w:rPr>
          <w:sz w:val="28"/>
        </w:rPr>
        <w:t xml:space="preserve"> главными администраторами доходов областного бюджета, установить следующую структуру группы подвида доходов:</w:t>
      </w:r>
    </w:p>
    <w:p w14:paraId="13000000">
      <w:pPr>
        <w:ind w:firstLine="709" w:left="0" w:right="-284"/>
        <w:jc w:val="both"/>
        <w:rPr>
          <w:sz w:val="28"/>
        </w:rPr>
      </w:pPr>
      <w:r>
        <w:rPr>
          <w:sz w:val="28"/>
        </w:rPr>
        <w:t>1000 - сумма платежа (перерасчеты, недоимка и задолженность                                    по соответствующему платежу, в том числе по отмененному);</w:t>
      </w:r>
    </w:p>
    <w:p w14:paraId="14000000">
      <w:pPr>
        <w:ind w:firstLine="709" w:left="0" w:right="-284"/>
        <w:jc w:val="both"/>
        <w:rPr>
          <w:sz w:val="28"/>
        </w:rPr>
      </w:pPr>
      <w:r>
        <w:rPr>
          <w:sz w:val="28"/>
        </w:rPr>
        <w:t xml:space="preserve">1001 - сумма государственной пошлины за совершений действий, связанных с лицензированием розничной торговли табачной продукцией                                                 и </w:t>
      </w:r>
      <w:r>
        <w:rPr>
          <w:sz w:val="28"/>
        </w:rPr>
        <w:t>никотинсодержащей</w:t>
      </w:r>
      <w:r>
        <w:rPr>
          <w:sz w:val="28"/>
        </w:rPr>
        <w:t xml:space="preserve"> продукцией и развозн</w:t>
      </w:r>
      <w:r>
        <w:rPr>
          <w:sz w:val="28"/>
        </w:rPr>
        <w:t>ой торговли табачной продукцией</w:t>
      </w:r>
      <w:r>
        <w:rPr>
          <w:sz w:val="28"/>
        </w:rPr>
        <w:t xml:space="preserve"> и </w:t>
      </w:r>
      <w:r>
        <w:rPr>
          <w:sz w:val="28"/>
        </w:rPr>
        <w:t>никотинсодержащей</w:t>
      </w:r>
      <w:r>
        <w:rPr>
          <w:sz w:val="28"/>
        </w:rPr>
        <w:t xml:space="preserve"> продукцией;</w:t>
      </w:r>
    </w:p>
    <w:p w14:paraId="15000000">
      <w:pPr>
        <w:ind w:firstLine="709" w:left="0" w:right="-284"/>
        <w:jc w:val="both"/>
        <w:rPr>
          <w:sz w:val="28"/>
        </w:rPr>
      </w:pPr>
      <w:r>
        <w:rPr>
          <w:sz w:val="28"/>
        </w:rPr>
        <w:t>4000 - прочие поступления</w:t>
      </w:r>
      <w:r>
        <w:rPr>
          <w:sz w:val="28"/>
        </w:rPr>
        <w:t>.».</w:t>
      </w:r>
    </w:p>
    <w:p w14:paraId="16000000">
      <w:pPr>
        <w:ind w:firstLine="709" w:left="0"/>
        <w:jc w:val="both"/>
        <w:rPr>
          <w:sz w:val="28"/>
        </w:rPr>
      </w:pPr>
      <w:r>
        <w:rPr>
          <w:sz w:val="28"/>
        </w:rPr>
        <w:t>2. В п</w:t>
      </w:r>
      <w:r>
        <w:rPr>
          <w:sz w:val="28"/>
        </w:rPr>
        <w:t>одпункт</w:t>
      </w:r>
      <w:r>
        <w:rPr>
          <w:sz w:val="28"/>
        </w:rPr>
        <w:t>е</w:t>
      </w:r>
      <w:r>
        <w:rPr>
          <w:sz w:val="28"/>
        </w:rPr>
        <w:t xml:space="preserve"> 2.2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"consultantplus://offline/ref=6B1177946295A770973FC80A4F4F8C29F339656FE727FDA386A38C0592518CC96C6A465C18CC27CFF38388FDC5650FC03A4D3095DAB8AF067E8F69094Av0J"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пункта 2</w:t>
      </w:r>
      <w:r>
        <w:rPr>
          <w:sz w:val="28"/>
        </w:rPr>
        <w:fldChar w:fldCharType="end"/>
      </w:r>
      <w:r>
        <w:rPr>
          <w:sz w:val="28"/>
        </w:rPr>
        <w:t xml:space="preserve"> «Направления расходов»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"consultantplus://offline/ref=6B1177946295A770973FC80A4F4F8C29F339656FE727FDA386A38C0592518CC96C6A465C18CC27CFF38382FEC4650FC03A4D3095DAB8AF067E8F69094Av0J"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раздела II</w:t>
      </w:r>
      <w:r>
        <w:rPr>
          <w:sz w:val="28"/>
        </w:rPr>
        <w:fldChar w:fldCharType="end"/>
      </w:r>
      <w:r>
        <w:rPr>
          <w:sz w:val="28"/>
        </w:rPr>
        <w:t xml:space="preserve"> «Классификация расходов областного бюджета»</w:t>
      </w:r>
      <w:r>
        <w:rPr>
          <w:sz w:val="28"/>
        </w:rPr>
        <w:t>:</w:t>
      </w:r>
    </w:p>
    <w:p w14:paraId="17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1) абзац четвертый подпункта 2.2.72 </w:t>
      </w:r>
      <w:r>
        <w:rPr>
          <w:sz w:val="28"/>
        </w:rPr>
        <w:t xml:space="preserve">изложить в следующей редакции: </w:t>
      </w:r>
    </w:p>
    <w:p w14:paraId="18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«реализацию мероприятий в рамках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"https://login.consultant.ru/link/?req=doc&amp;base=RLAW417&amp;n=141687"</w:instrText>
      </w:r>
      <w:r>
        <w:rPr>
          <w:sz w:val="28"/>
        </w:rPr>
        <w:fldChar w:fldCharType="separate"/>
      </w:r>
      <w:r>
        <w:rPr>
          <w:sz w:val="28"/>
        </w:rPr>
        <w:t>Закона</w:t>
      </w:r>
      <w:r>
        <w:rPr>
          <w:sz w:val="28"/>
        </w:rPr>
        <w:fldChar w:fldCharType="end"/>
      </w:r>
      <w:r>
        <w:rPr>
          <w:sz w:val="28"/>
        </w:rPr>
        <w:t xml:space="preserve"> Курской</w:t>
      </w:r>
      <w:r>
        <w:rPr>
          <w:sz w:val="28"/>
        </w:rPr>
        <w:t xml:space="preserve"> области от </w:t>
      </w:r>
      <w:r>
        <w:rPr>
          <w:sz w:val="28"/>
        </w:rPr>
        <w:t>03.11.2021 № 94-ЗКО «О перераспределении полномочий между органами местного самоуправления муниципального образования «городской округ город Курск» и органами государственной власти Курской области по организации регулярных перевозок пасс</w:t>
      </w:r>
      <w:r>
        <w:rPr>
          <w:sz w:val="28"/>
        </w:rPr>
        <w:t>ажиров и </w:t>
      </w:r>
      <w:r>
        <w:rPr>
          <w:sz w:val="28"/>
        </w:rPr>
        <w:t>багажа автомобильным транспортом и городским наземным электрическим транспортом</w:t>
      </w:r>
      <w:r>
        <w:rPr>
          <w:sz w:val="28"/>
        </w:rPr>
        <w:t>;</w:t>
      </w:r>
      <w:r>
        <w:rPr>
          <w:sz w:val="28"/>
        </w:rPr>
        <w:t>»</w:t>
      </w:r>
      <w:r>
        <w:rPr>
          <w:sz w:val="28"/>
        </w:rPr>
        <w:t>;</w:t>
      </w:r>
    </w:p>
    <w:p w14:paraId="19000000">
      <w:pPr>
        <w:ind w:firstLine="709" w:left="0"/>
        <w:jc w:val="both"/>
        <w:rPr>
          <w:sz w:val="28"/>
        </w:rPr>
      </w:pPr>
      <w:r>
        <w:rPr>
          <w:sz w:val="28"/>
        </w:rPr>
        <w:t>2) подпункт 2.2.213</w:t>
      </w:r>
      <w:r>
        <w:rPr>
          <w:sz w:val="28"/>
          <w:vertAlign w:val="superscript"/>
        </w:rPr>
        <w:t>14</w:t>
      </w:r>
      <w:r>
        <w:rPr>
          <w:sz w:val="28"/>
        </w:rPr>
        <w:t xml:space="preserve"> </w:t>
      </w:r>
      <w:r>
        <w:rPr>
          <w:sz w:val="28"/>
        </w:rPr>
        <w:t xml:space="preserve">изложить в следующей редакции: </w:t>
      </w:r>
    </w:p>
    <w:p w14:paraId="1A000000">
      <w:pPr>
        <w:pStyle w:val="Style_2"/>
        <w:ind w:firstLine="709" w:left="0"/>
        <w:jc w:val="both"/>
        <w:rPr>
          <w:color w:val="000000"/>
        </w:rPr>
      </w:pPr>
      <w:r>
        <w:t>«</w:t>
      </w:r>
      <w:r>
        <w:t>2.2.213</w:t>
      </w:r>
      <w:r>
        <w:rPr>
          <w:vertAlign w:val="superscript"/>
        </w:rPr>
        <w:t>14</w:t>
      </w:r>
      <w:r>
        <w:t>. </w:t>
      </w:r>
      <w:r>
        <w:rPr>
          <w:color w:val="000000"/>
        </w:rPr>
        <w:t xml:space="preserve">По направлению расходов «12934 Проведение мероприятий в целях обеспечения компенсационных выплат гражданам </w:t>
      </w:r>
      <w:r>
        <w:rPr>
          <w:color w:val="000000"/>
        </w:rPr>
        <w:t>в </w:t>
      </w:r>
      <w:r>
        <w:rPr>
          <w:color w:val="000000"/>
        </w:rPr>
        <w:t>связи с утратой личного транспортного средства</w:t>
      </w:r>
      <w:r>
        <w:rPr>
          <w:color w:val="FFFFFF"/>
        </w:rPr>
        <w:t xml:space="preserve"> </w:t>
      </w:r>
      <w:r>
        <w:rPr>
          <w:color w:val="000000"/>
        </w:rPr>
        <w:t>вследствие вторжения вооруженных формирований Украины» отражаются расходы областного бюджета на проведение экспертных исследований по определению ущерба, причиненного гражданам в связи с повреждением или полной утратой личных транспортных средств, уничтоженных в результате вторжения со стороны воор</w:t>
      </w:r>
      <w:r>
        <w:rPr>
          <w:color w:val="000000"/>
        </w:rPr>
        <w:t>уженных формирований Украины на </w:t>
      </w:r>
      <w:r>
        <w:rPr>
          <w:color w:val="000000"/>
        </w:rPr>
        <w:t>территорию Курской области, включа</w:t>
      </w:r>
      <w:r>
        <w:rPr>
          <w:color w:val="000000"/>
        </w:rPr>
        <w:t>я утрату транспортных средств в </w:t>
      </w:r>
      <w:r>
        <w:rPr>
          <w:color w:val="000000"/>
        </w:rPr>
        <w:t xml:space="preserve">результате угона или отсутствия возможности их обслуживания, а также расходы по оплате услуг почтовой связи по пересылке письменной корреспонденции в рамках </w:t>
      </w:r>
      <w:r>
        <w:rPr>
          <w:color w:val="000000"/>
        </w:rPr>
        <w:t>поступающих документов на </w:t>
      </w:r>
      <w:r>
        <w:rPr>
          <w:color w:val="000000"/>
        </w:rPr>
        <w:t>компенсационную выплату</w:t>
      </w:r>
      <w:r>
        <w:rPr>
          <w:color w:val="000000"/>
        </w:rPr>
        <w:t>.</w:t>
      </w:r>
      <w:r>
        <w:rPr>
          <w:color w:val="000000"/>
        </w:rPr>
        <w:t>»;</w:t>
      </w:r>
    </w:p>
    <w:p w14:paraId="1B000000">
      <w:pPr>
        <w:pStyle w:val="Style_2"/>
        <w:ind w:firstLine="709" w:left="0"/>
        <w:jc w:val="both"/>
      </w:pPr>
      <w:r>
        <w:rPr>
          <w:color w:val="000000"/>
        </w:rPr>
        <w:t xml:space="preserve">3) дополнить подпунктом </w:t>
      </w:r>
      <w:r>
        <w:t>2.2.387</w:t>
      </w:r>
      <w:r>
        <w:rPr>
          <w:vertAlign w:val="superscript"/>
        </w:rPr>
        <w:t>1</w:t>
      </w:r>
      <w:r>
        <w:rPr>
          <w:vertAlign w:val="superscript"/>
        </w:rPr>
        <w:t>-1</w:t>
      </w:r>
      <w:r>
        <w:t xml:space="preserve"> следующего содержания:</w:t>
      </w:r>
    </w:p>
    <w:p w14:paraId="1C000000">
      <w:pPr>
        <w:pStyle w:val="Style_4"/>
        <w:spacing w:line="288" w:lineRule="atLeast"/>
        <w:ind w:firstLine="540" w:left="0"/>
        <w:jc w:val="both"/>
        <w:rPr>
          <w:color w:val="000000"/>
          <w:sz w:val="28"/>
        </w:rPr>
      </w:pPr>
      <w:r>
        <w:rPr>
          <w:sz w:val="28"/>
        </w:rPr>
        <w:t>«2.2.387</w:t>
      </w:r>
      <w:r>
        <w:rPr>
          <w:sz w:val="28"/>
          <w:vertAlign w:val="superscript"/>
        </w:rPr>
        <w:t>1</w:t>
      </w:r>
      <w:r>
        <w:rPr>
          <w:sz w:val="28"/>
          <w:vertAlign w:val="superscript"/>
        </w:rPr>
        <w:t>-1</w:t>
      </w:r>
      <w:r>
        <w:rPr>
          <w:sz w:val="28"/>
        </w:rPr>
        <w:t>. </w:t>
      </w:r>
      <w:r>
        <w:rPr>
          <w:sz w:val="28"/>
        </w:rPr>
        <w:t>По направлению расходов</w:t>
      </w:r>
      <w:r>
        <w:rPr>
          <w:color w:val="FF0000"/>
          <w:sz w:val="28"/>
        </w:rPr>
        <w:t xml:space="preserve"> </w:t>
      </w:r>
      <w:r>
        <w:rPr>
          <w:sz w:val="28"/>
        </w:rPr>
        <w:t>«R6300 Компенсация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 территории Курской области, ущерба, причиненного в результате проведения </w:t>
      </w:r>
      <w:r>
        <w:rPr>
          <w:sz w:val="28"/>
        </w:rPr>
        <w:t>контртеррористической</w:t>
      </w:r>
      <w:r>
        <w:rPr>
          <w:sz w:val="28"/>
        </w:rPr>
        <w:t xml:space="preserve"> операции на территории Курской области, а также обстрелов со стороны вооруженных формирований Украины и террористических актов (с </w:t>
      </w:r>
      <w:r>
        <w:rPr>
          <w:sz w:val="28"/>
        </w:rPr>
        <w:t>софинансированием</w:t>
      </w:r>
      <w:r>
        <w:rPr>
          <w:sz w:val="28"/>
        </w:rPr>
        <w:t xml:space="preserve"> расходов из средств резервного фонда Правительства Российской Федерации)» отражаются расходы областного</w:t>
      </w:r>
      <w:r>
        <w:rPr>
          <w:sz w:val="28"/>
        </w:rPr>
        <w:t xml:space="preserve"> бюджета, в том числе источником финансового </w:t>
      </w:r>
      <w:r>
        <w:rPr>
          <w:sz w:val="28"/>
        </w:rPr>
        <w:t>обеспечения</w:t>
      </w:r>
      <w:r>
        <w:rPr>
          <w:sz w:val="28"/>
        </w:rPr>
        <w:t xml:space="preserve"> которых являются средства резервного фонда Правительства Российской Федерации,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</w:t>
      </w:r>
      <w:r>
        <w:rPr>
          <w:sz w:val="28"/>
        </w:rPr>
        <w:t>контртеррористической</w:t>
      </w:r>
      <w:r>
        <w:rPr>
          <w:sz w:val="28"/>
        </w:rPr>
        <w:t xml:space="preserve"> операции на территории Курской области, а также обстрелов со стороны вооруженных формирований Украины и террористических актов</w:t>
      </w:r>
      <w:r>
        <w:rPr>
          <w:sz w:val="28"/>
        </w:rPr>
        <w:t>.».</w:t>
      </w:r>
    </w:p>
    <w:p w14:paraId="1D000000">
      <w:pPr>
        <w:pStyle w:val="Style_2"/>
        <w:ind w:firstLine="709" w:left="0"/>
        <w:jc w:val="both"/>
      </w:pPr>
      <w:r>
        <w:t>3</w:t>
      </w:r>
      <w:r>
        <w:t>. В Пр</w:t>
      </w:r>
      <w:r>
        <w:t>иложении 1 к указанному Порядку</w:t>
      </w:r>
      <w:r>
        <w:t>:</w:t>
      </w:r>
    </w:p>
    <w:p w14:paraId="1E000000">
      <w:pPr>
        <w:pStyle w:val="Style_2"/>
        <w:ind w:firstLine="709" w:left="0"/>
        <w:jc w:val="both"/>
      </w:pPr>
      <w:r>
        <w:t>1) </w:t>
      </w:r>
      <w:r>
        <w:t>строк</w:t>
      </w:r>
      <w:r>
        <w:t>у</w:t>
      </w:r>
      <w:r>
        <w:t>:</w:t>
      </w: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34"/>
        <w:gridCol w:w="7055"/>
      </w:tblGrid>
      <w:tr>
        <w:trPr>
          <w:trHeight w:hRule="atLeast" w:val="715"/>
        </w:trPr>
        <w:tc>
          <w:tcPr>
            <w:tcW w:type="dxa" w:w="213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00000">
            <w:pPr>
              <w:rPr>
                <w:sz w:val="26"/>
              </w:rPr>
            </w:pPr>
            <w:r>
              <w:rPr>
                <w:sz w:val="26"/>
              </w:rPr>
              <w:t>«86 1 00 12934</w:t>
            </w:r>
          </w:p>
        </w:tc>
        <w:tc>
          <w:tcPr>
            <w:tcW w:type="dxa" w:w="705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>Проведение экспертного исследования по определению ущерба, причиненного гражданину в связи с утратой личного транспортного средства вследствие вторжения вооруженных формирований Украины»</w:t>
            </w:r>
          </w:p>
        </w:tc>
      </w:tr>
    </w:tbl>
    <w:p w14:paraId="21000000">
      <w:pPr>
        <w:pStyle w:val="Style_6"/>
        <w:ind w:firstLine="709" w:left="0" w:right="-1"/>
      </w:pPr>
      <w:r>
        <w:t>изложить в следующей редакции</w:t>
      </w:r>
      <w:r>
        <w:t>:</w:t>
      </w:r>
    </w:p>
    <w:tbl>
      <w:tblPr>
        <w:tblStyle w:val="Style_5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27"/>
        <w:gridCol w:w="6945"/>
      </w:tblGrid>
      <w:tr>
        <w:trPr>
          <w:trHeight w:hRule="atLeast" w:val="181"/>
        </w:trPr>
        <w:tc>
          <w:tcPr>
            <w:tcW w:type="dxa" w:w="212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00000">
            <w:pPr>
              <w:rPr>
                <w:sz w:val="26"/>
              </w:rPr>
            </w:pPr>
            <w:r>
              <w:rPr>
                <w:sz w:val="26"/>
              </w:rPr>
              <w:t>«86 1 00 12934</w:t>
            </w:r>
          </w:p>
        </w:tc>
        <w:tc>
          <w:tcPr>
            <w:tcW w:type="dxa" w:w="694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>Проведение мероприятий в целях обеспечения компенсационных выплат гражданам в связи с утратой личного транспортного средства вследствие вторжения вооруженных формирований Украины»</w:t>
            </w:r>
            <w:r>
              <w:rPr>
                <w:sz w:val="26"/>
              </w:rPr>
              <w:t>;</w:t>
            </w:r>
          </w:p>
        </w:tc>
      </w:tr>
    </w:tbl>
    <w:p w14:paraId="24000000">
      <w:pPr>
        <w:pStyle w:val="Style_2"/>
        <w:ind w:firstLine="709" w:left="0"/>
        <w:jc w:val="both"/>
      </w:pPr>
      <w:r>
        <w:t>2) после строки:</w:t>
      </w:r>
    </w:p>
    <w:tbl>
      <w:tblPr>
        <w:tblStyle w:val="Style_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89"/>
        <w:gridCol w:w="6945"/>
      </w:tblGrid>
      <w:tr>
        <w:tc>
          <w:tcPr>
            <w:tcW w:type="dxa" w:w="2189"/>
            <w:tcMar>
              <w:top w:type="dxa" w:w="28"/>
              <w:left w:type="dxa" w:w="62"/>
              <w:bottom w:type="dxa" w:w="28"/>
              <w:right w:type="dxa" w:w="62"/>
            </w:tcMar>
          </w:tcPr>
          <w:p w14:paraId="25000000">
            <w:pPr>
              <w:rPr>
                <w:sz w:val="26"/>
              </w:rPr>
            </w:pPr>
            <w:r>
              <w:rPr>
                <w:sz w:val="26"/>
              </w:rPr>
              <w:t>«86 1 00 R6190</w:t>
            </w:r>
          </w:p>
          <w:p w14:paraId="26000000">
            <w:pPr>
              <w:rPr>
                <w:sz w:val="26"/>
              </w:rPr>
            </w:pPr>
          </w:p>
        </w:tc>
        <w:tc>
          <w:tcPr>
            <w:tcW w:type="dxa" w:w="6945"/>
            <w:tcMar>
              <w:top w:type="dxa" w:w="28"/>
              <w:left w:type="dxa" w:w="62"/>
              <w:bottom w:type="dxa" w:w="28"/>
              <w:right w:type="dxa" w:w="62"/>
            </w:tcMar>
          </w:tcPr>
          <w:p w14:paraId="27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>Реализация мер социальной поддержки граждан, жилые помещения которых утрачены и (или) повреждены в результате обстрелов со стороны вооруженных формирований Украины, и граждан, проживающих в населенных пунктах, которые подверглись или подвергаются таким обстрелам»</w:t>
            </w:r>
          </w:p>
        </w:tc>
      </w:tr>
    </w:tbl>
    <w:p w14:paraId="28000000">
      <w:pPr>
        <w:pStyle w:val="Style_2"/>
        <w:ind w:firstLine="709" w:left="0"/>
        <w:jc w:val="both"/>
      </w:pPr>
      <w:r>
        <w:t>дополнить строкой следующего содержания:</w:t>
      </w:r>
    </w:p>
    <w:tbl>
      <w:tblPr>
        <w:tblStyle w:val="Style_7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208"/>
        <w:gridCol w:w="6863"/>
      </w:tblGrid>
      <w:tr>
        <w:trPr>
          <w:trHeight w:hRule="atLeast" w:val="4062"/>
        </w:trPr>
        <w:tc>
          <w:tcPr>
            <w:tcW w:type="dxa" w:w="220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9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>«</w:t>
            </w:r>
            <w:r>
              <w:rPr>
                <w:sz w:val="26"/>
              </w:rPr>
              <w:t xml:space="preserve">86 1 00 R6300 </w:t>
            </w:r>
          </w:p>
        </w:tc>
        <w:tc>
          <w:tcPr>
            <w:tcW w:type="dxa" w:w="686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2A000000">
            <w:pPr>
              <w:ind/>
              <w:jc w:val="both"/>
              <w:rPr>
                <w:color w:val="FF0000"/>
                <w:sz w:val="26"/>
              </w:rPr>
            </w:pPr>
            <w:r>
              <w:rPr>
                <w:sz w:val="26"/>
              </w:rPr>
              <w:t xml:space="preserve">Компенсация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</w:t>
            </w:r>
            <w:r>
              <w:rPr>
                <w:sz w:val="26"/>
              </w:rPr>
              <w:t>контртеррористической</w:t>
            </w:r>
            <w:r>
              <w:rPr>
                <w:sz w:val="26"/>
              </w:rPr>
              <w:t xml:space="preserve"> операции на территории Курской области, а также обстрелов со стороны вооруженных формирований Украины и террористических актов (с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софинансированием</w:t>
            </w:r>
            <w:r>
              <w:rPr>
                <w:sz w:val="26"/>
              </w:rPr>
              <w:t xml:space="preserve"> расходов из средств резервного фонда Правительства Российской Федерации)».</w:t>
            </w:r>
          </w:p>
        </w:tc>
      </w:tr>
    </w:tbl>
    <w:p w14:paraId="2B000000">
      <w:pPr>
        <w:pStyle w:val="Style_2"/>
        <w:ind w:firstLine="709" w:left="0"/>
        <w:jc w:val="both"/>
      </w:pPr>
    </w:p>
    <w:sectPr>
      <w:headerReference r:id="rId1" w:type="default"/>
      <w:pgSz w:h="16838" w:orient="portrait" w:w="11906"/>
      <w:pgMar w:bottom="1134" w:footer="709" w:gutter="0" w:header="709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8_ch" w:type="character">
    <w:name w:val="Normal"/>
    <w:link w:val="Style_8"/>
    <w:rPr>
      <w:rFonts w:ascii="Times New Roman" w:hAnsi="Times New Roman"/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ConsPlusNonformat"/>
    <w:link w:val="Style_10_ch"/>
    <w:pPr>
      <w:spacing w:after="0" w:line="240" w:lineRule="auto"/>
      <w:ind/>
    </w:pPr>
    <w:rPr>
      <w:rFonts w:ascii="Courier New" w:hAnsi="Courier New"/>
      <w:sz w:val="20"/>
    </w:rPr>
  </w:style>
  <w:style w:styleId="Style_10_ch" w:type="character">
    <w:name w:val="ConsPlusNonformat"/>
    <w:link w:val="Style_10"/>
    <w:rPr>
      <w:rFonts w:ascii="Courier New" w:hAnsi="Courier New"/>
      <w:sz w:val="20"/>
    </w:rPr>
  </w:style>
  <w:style w:styleId="Style_11" w:type="paragraph">
    <w:name w:val="toc 4"/>
    <w:next w:val="Style_8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8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8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No Spacing"/>
    <w:link w:val="Style_14_ch"/>
    <w:pPr>
      <w:spacing w:after="0" w:line="240" w:lineRule="auto"/>
      <w:ind/>
    </w:pPr>
    <w:rPr>
      <w:rFonts w:ascii="Times New Roman" w:hAnsi="Times New Roman"/>
      <w:sz w:val="28"/>
    </w:rPr>
  </w:style>
  <w:style w:styleId="Style_14_ch" w:type="character">
    <w:name w:val="No Spacing"/>
    <w:link w:val="Style_14"/>
    <w:rPr>
      <w:rFonts w:ascii="Times New Roman" w:hAnsi="Times New Roman"/>
      <w:sz w:val="28"/>
    </w:rPr>
  </w:style>
  <w:style w:styleId="Style_15" w:type="paragraph">
    <w:name w:val="footer"/>
    <w:basedOn w:val="Style_8"/>
    <w:link w:val="Style_15_ch"/>
    <w:pPr>
      <w:tabs>
        <w:tab w:leader="none" w:pos="4677" w:val="center"/>
        <w:tab w:leader="none" w:pos="9355" w:val="right"/>
      </w:tabs>
      <w:ind/>
    </w:pPr>
  </w:style>
  <w:style w:styleId="Style_15_ch" w:type="character">
    <w:name w:val="footer"/>
    <w:basedOn w:val="Style_8_ch"/>
    <w:link w:val="Style_15"/>
  </w:style>
  <w:style w:styleId="Style_16" w:type="paragraph">
    <w:name w:val="heading 3"/>
    <w:next w:val="Style_8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ConsPlusTitlePage"/>
    <w:link w:val="Style_17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7_ch" w:type="character">
    <w:name w:val="ConsPlusTitlePage"/>
    <w:link w:val="Style_17"/>
    <w:rPr>
      <w:rFonts w:ascii="Tahoma" w:hAnsi="Tahoma"/>
      <w:sz w:val="20"/>
    </w:rPr>
  </w:style>
  <w:style w:styleId="Style_18" w:type="paragraph">
    <w:name w:val="s_16"/>
    <w:basedOn w:val="Style_8"/>
    <w:link w:val="Style_18_ch"/>
    <w:pPr>
      <w:spacing w:afterAutospacing="on" w:beforeAutospacing="on"/>
      <w:ind/>
    </w:pPr>
  </w:style>
  <w:style w:styleId="Style_18_ch" w:type="character">
    <w:name w:val="s_16"/>
    <w:basedOn w:val="Style_8_ch"/>
    <w:link w:val="Style_18"/>
  </w:style>
  <w:style w:styleId="Style_19" w:type="paragraph">
    <w:name w:val="msonormal_mr_css_attr"/>
    <w:basedOn w:val="Style_8"/>
    <w:link w:val="Style_19_ch"/>
    <w:pPr>
      <w:spacing w:afterAutospacing="on" w:beforeAutospacing="on"/>
      <w:ind/>
    </w:pPr>
  </w:style>
  <w:style w:styleId="Style_19_ch" w:type="character">
    <w:name w:val="msonormal_mr_css_attr"/>
    <w:basedOn w:val="Style_8_ch"/>
    <w:link w:val="Style_19"/>
  </w:style>
  <w:style w:styleId="Style_6" w:type="paragraph">
    <w:name w:val="Body Text Indent"/>
    <w:basedOn w:val="Style_8"/>
    <w:link w:val="Style_6_ch"/>
    <w:pPr>
      <w:ind w:firstLine="851" w:left="0"/>
      <w:jc w:val="both"/>
    </w:pPr>
    <w:rPr>
      <w:sz w:val="28"/>
    </w:rPr>
  </w:style>
  <w:style w:styleId="Style_6_ch" w:type="character">
    <w:name w:val="Body Text Indent"/>
    <w:basedOn w:val="Style_8_ch"/>
    <w:link w:val="Style_6"/>
    <w:rPr>
      <w:sz w:val="28"/>
    </w:rPr>
  </w:style>
  <w:style w:styleId="Style_20" w:type="paragraph">
    <w:name w:val="s_1"/>
    <w:basedOn w:val="Style_8"/>
    <w:link w:val="Style_20_ch"/>
    <w:pPr>
      <w:spacing w:afterAutospacing="on" w:beforeAutospacing="on"/>
      <w:ind/>
    </w:pPr>
  </w:style>
  <w:style w:styleId="Style_20_ch" w:type="character">
    <w:name w:val="s_1"/>
    <w:basedOn w:val="Style_8_ch"/>
    <w:link w:val="Style_20"/>
  </w:style>
  <w:style w:styleId="Style_3" w:type="paragraph">
    <w:name w:val="Body Text Indent 2"/>
    <w:basedOn w:val="Style_8"/>
    <w:link w:val="Style_3_ch"/>
    <w:pPr>
      <w:spacing w:after="120" w:line="480" w:lineRule="auto"/>
      <w:ind w:firstLine="0" w:left="283"/>
    </w:pPr>
  </w:style>
  <w:style w:styleId="Style_3_ch" w:type="character">
    <w:name w:val="Body Text Indent 2"/>
    <w:basedOn w:val="Style_8_ch"/>
    <w:link w:val="Style_3"/>
  </w:style>
  <w:style w:styleId="Style_21" w:type="paragraph">
    <w:name w:val="toc 3"/>
    <w:next w:val="Style_8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1" w:type="paragraph">
    <w:name w:val="head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2" w:type="paragraph">
    <w:name w:val="ConsPlusNormal"/>
    <w:link w:val="Style_2_ch"/>
    <w:pPr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ConsPlusNormal"/>
    <w:link w:val="Style_2"/>
    <w:rPr>
      <w:rFonts w:ascii="Times New Roman" w:hAnsi="Times New Roman"/>
      <w:sz w:val="28"/>
    </w:rPr>
  </w:style>
  <w:style w:styleId="Style_22" w:type="paragraph">
    <w:name w:val="List Paragraph"/>
    <w:basedOn w:val="Style_8"/>
    <w:link w:val="Style_22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22_ch" w:type="character">
    <w:name w:val="List Paragraph"/>
    <w:basedOn w:val="Style_8_ch"/>
    <w:link w:val="Style_22"/>
    <w:rPr>
      <w:rFonts w:ascii="Calibri" w:hAnsi="Calibri"/>
      <w:sz w:val="22"/>
    </w:rPr>
  </w:style>
  <w:style w:styleId="Style_23" w:type="paragraph">
    <w:name w:val="heading 5"/>
    <w:next w:val="Style_8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8"/>
    <w:link w:val="Style_2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yperlink"/>
    <w:basedOn w:val="Style_26"/>
    <w:link w:val="Style_25_ch"/>
    <w:rPr>
      <w:color w:val="0000FF"/>
      <w:u w:val="single"/>
    </w:rPr>
  </w:style>
  <w:style w:styleId="Style_25_ch" w:type="character">
    <w:name w:val="Hyperlink"/>
    <w:basedOn w:val="Style_26_ch"/>
    <w:link w:val="Style_25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8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0"/>
    </w:rPr>
  </w:style>
  <w:style w:styleId="Style_29_ch" w:type="character">
    <w:name w:val="Header and Footer"/>
    <w:link w:val="Style_29"/>
    <w:rPr>
      <w:rFonts w:ascii="XO Thames" w:hAnsi="XO Thames"/>
      <w:sz w:val="20"/>
    </w:rPr>
  </w:style>
  <w:style w:styleId="Style_30" w:type="paragraph">
    <w:name w:val="ConsPlusTitle"/>
    <w:link w:val="Style_30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30_ch" w:type="character">
    <w:name w:val="ConsPlusTitle"/>
    <w:link w:val="Style_30"/>
    <w:rPr>
      <w:rFonts w:ascii="Calibri" w:hAnsi="Calibri"/>
      <w:b w:val="1"/>
    </w:rPr>
  </w:style>
  <w:style w:styleId="Style_31" w:type="paragraph">
    <w:name w:val="toc 9"/>
    <w:next w:val="Style_8"/>
    <w:link w:val="Style_3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1_ch" w:type="character">
    <w:name w:val="toc 9"/>
    <w:link w:val="Style_31"/>
    <w:rPr>
      <w:rFonts w:ascii="XO Thames" w:hAnsi="XO Thames"/>
      <w:sz w:val="28"/>
    </w:rPr>
  </w:style>
  <w:style w:styleId="Style_32" w:type="paragraph">
    <w:name w:val="toc 8"/>
    <w:next w:val="Style_8"/>
    <w:link w:val="Style_3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Balloon Text"/>
    <w:basedOn w:val="Style_8"/>
    <w:link w:val="Style_33_ch"/>
    <w:rPr>
      <w:rFonts w:ascii="Tahoma" w:hAnsi="Tahoma"/>
      <w:sz w:val="16"/>
    </w:rPr>
  </w:style>
  <w:style w:styleId="Style_33_ch" w:type="character">
    <w:name w:val="Balloon Text"/>
    <w:basedOn w:val="Style_8_ch"/>
    <w:link w:val="Style_33"/>
    <w:rPr>
      <w:rFonts w:ascii="Tahoma" w:hAnsi="Tahoma"/>
      <w:sz w:val="16"/>
    </w:rPr>
  </w:style>
  <w:style w:styleId="Style_34" w:type="paragraph">
    <w:name w:val="toc 5"/>
    <w:next w:val="Style_8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Font Style12"/>
    <w:link w:val="Style_35_ch"/>
    <w:rPr>
      <w:rFonts w:ascii="Times New Roman" w:hAnsi="Times New Roman"/>
      <w:sz w:val="30"/>
    </w:rPr>
  </w:style>
  <w:style w:styleId="Style_35_ch" w:type="character">
    <w:name w:val="Font Style12"/>
    <w:link w:val="Style_35"/>
    <w:rPr>
      <w:rFonts w:ascii="Times New Roman" w:hAnsi="Times New Roman"/>
      <w:sz w:val="30"/>
    </w:rPr>
  </w:style>
  <w:style w:styleId="Style_4" w:type="paragraph">
    <w:name w:val="Normal (Web)"/>
    <w:basedOn w:val="Style_8"/>
    <w:link w:val="Style_4_ch"/>
  </w:style>
  <w:style w:styleId="Style_4_ch" w:type="character">
    <w:name w:val="Normal (Web)"/>
    <w:basedOn w:val="Style_8_ch"/>
    <w:link w:val="Style_4"/>
  </w:style>
  <w:style w:styleId="Style_36" w:type="paragraph">
    <w:name w:val="Subtitle"/>
    <w:next w:val="Style_8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basedOn w:val="Style_8"/>
    <w:link w:val="Style_37_ch"/>
    <w:uiPriority w:val="10"/>
    <w:qFormat/>
    <w:pPr>
      <w:ind/>
      <w:jc w:val="center"/>
    </w:pPr>
    <w:rPr>
      <w:b w:val="1"/>
      <w:sz w:val="28"/>
    </w:rPr>
  </w:style>
  <w:style w:styleId="Style_37_ch" w:type="character">
    <w:name w:val="Title"/>
    <w:basedOn w:val="Style_8_ch"/>
    <w:link w:val="Style_37"/>
    <w:rPr>
      <w:b w:val="1"/>
      <w:sz w:val="28"/>
    </w:rPr>
  </w:style>
  <w:style w:styleId="Style_38" w:type="paragraph">
    <w:name w:val="heading 4"/>
    <w:next w:val="Style_8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Style4"/>
    <w:basedOn w:val="Style_8"/>
    <w:link w:val="Style_39_ch"/>
    <w:pPr>
      <w:widowControl w:val="0"/>
      <w:spacing w:line="546" w:lineRule="exact"/>
      <w:ind w:firstLine="552" w:left="0"/>
      <w:jc w:val="both"/>
    </w:pPr>
  </w:style>
  <w:style w:styleId="Style_39_ch" w:type="character">
    <w:name w:val="Style4"/>
    <w:basedOn w:val="Style_8_ch"/>
    <w:link w:val="Style_39"/>
  </w:style>
  <w:style w:styleId="Style_40" w:type="paragraph">
    <w:name w:val="highlightsearch"/>
    <w:basedOn w:val="Style_26"/>
    <w:link w:val="Style_40_ch"/>
  </w:style>
  <w:style w:styleId="Style_40_ch" w:type="character">
    <w:name w:val="highlightsearch"/>
    <w:basedOn w:val="Style_26_ch"/>
    <w:link w:val="Style_40"/>
  </w:style>
  <w:style w:styleId="Style_41" w:type="paragraph">
    <w:name w:val="heading 2"/>
    <w:next w:val="Style_8"/>
    <w:link w:val="Style_4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42" w:type="table">
    <w:name w:val="Table Normal"/>
    <w:pPr>
      <w:widowControl w:val="0"/>
      <w:spacing w:after="0" w:line="240" w:lineRule="auto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" w:type="table">
    <w:name w:val="Table Grid"/>
    <w:basedOn w:val="Style_5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2026-09-28T14:40:30Z</dcterms:modified>
</cp:coreProperties>
</file>