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709" w:left="0"/>
        <w:jc w:val="both"/>
        <w:rPr>
          <w:highlight w:val="yellow"/>
        </w:rPr>
      </w:pPr>
      <w:r>
        <w:rPr>
          <w:highlight w:val="yellow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2927350</wp:posOffset>
                </wp:positionH>
                <wp:positionV relativeFrom="paragraph">
                  <wp:posOffset>29844</wp:posOffset>
                </wp:positionV>
                <wp:extent cx="2894330" cy="1144905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94330" cy="11449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УТВЕРЖДЕНЫ</w:t>
                            </w:r>
                          </w:p>
                          <w:p w14:paraId="04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приказом Министерства финансов и бюджетного контроля</w:t>
                            </w:r>
                          </w:p>
                          <w:p w14:paraId="05000000">
                            <w:pPr>
                              <w:pStyle w:val="Style_2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Курской области</w:t>
                            </w:r>
                          </w:p>
                          <w:p w14:paraId="06000000">
                            <w:pPr>
                              <w:pStyle w:val="Style_2"/>
                              <w:ind/>
                              <w:jc w:val="both"/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6"/>
                              </w:rPr>
                              <w:t>от</w:t>
                            </w:r>
                            <w:r>
                              <w:rPr>
                                <w:sz w:val="26"/>
                              </w:rPr>
                              <w:t xml:space="preserve"> 27.10.2026</w:t>
                            </w:r>
                            <w:r>
                              <w:rPr>
                                <w:sz w:val="26"/>
                              </w:rPr>
                              <w:t xml:space="preserve"> № 89н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7000000">
      <w:pPr>
        <w:ind w:firstLine="709" w:left="0"/>
        <w:jc w:val="both"/>
        <w:rPr>
          <w:highlight w:val="yellow"/>
        </w:rPr>
      </w:pPr>
    </w:p>
    <w:p w14:paraId="08000000">
      <w:pPr>
        <w:ind w:firstLine="709" w:left="0"/>
        <w:jc w:val="both"/>
        <w:rPr>
          <w:highlight w:val="yellow"/>
        </w:rPr>
      </w:pPr>
    </w:p>
    <w:p w14:paraId="09000000">
      <w:pPr>
        <w:ind w:firstLine="709" w:left="0"/>
        <w:jc w:val="both"/>
        <w:rPr>
          <w:sz w:val="27"/>
          <w:highlight w:val="yellow"/>
        </w:rPr>
      </w:pPr>
    </w:p>
    <w:p w14:paraId="0A000000">
      <w:pPr>
        <w:ind/>
        <w:jc w:val="both"/>
        <w:rPr>
          <w:sz w:val="27"/>
          <w:highlight w:val="yellow"/>
        </w:rPr>
      </w:pPr>
    </w:p>
    <w:p w14:paraId="0B000000">
      <w:pPr>
        <w:ind w:firstLine="709" w:left="0"/>
        <w:jc w:val="both"/>
        <w:rPr>
          <w:sz w:val="27"/>
          <w:highlight w:val="yellow"/>
        </w:rPr>
      </w:pPr>
    </w:p>
    <w:p w14:paraId="0C000000">
      <w:pPr>
        <w:ind/>
        <w:jc w:val="center"/>
        <w:rPr>
          <w:b w:val="1"/>
          <w:sz w:val="27"/>
        </w:rPr>
      </w:pP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ИЗМЕНЕНИ</w:t>
      </w:r>
      <w:r>
        <w:rPr>
          <w:b w:val="1"/>
          <w:sz w:val="28"/>
        </w:rPr>
        <w:t>Я</w:t>
      </w:r>
      <w:r>
        <w:rPr>
          <w:b w:val="1"/>
          <w:sz w:val="28"/>
        </w:rPr>
        <w:t>,</w:t>
      </w:r>
    </w:p>
    <w:p w14:paraId="0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котор</w:t>
      </w:r>
      <w:r>
        <w:rPr>
          <w:b w:val="1"/>
          <w:sz w:val="28"/>
        </w:rPr>
        <w:t>ые</w:t>
      </w:r>
      <w:r>
        <w:rPr>
          <w:b w:val="1"/>
          <w:sz w:val="28"/>
        </w:rPr>
        <w:t xml:space="preserve"> внос</w:t>
      </w:r>
      <w:r>
        <w:rPr>
          <w:b w:val="1"/>
          <w:sz w:val="28"/>
        </w:rPr>
        <w:t>я</w:t>
      </w:r>
      <w:r>
        <w:rPr>
          <w:b w:val="1"/>
          <w:sz w:val="28"/>
        </w:rPr>
        <w:t>тся в п</w:t>
      </w:r>
      <w:r>
        <w:rPr>
          <w:b w:val="1"/>
          <w:sz w:val="28"/>
        </w:rPr>
        <w:t xml:space="preserve">риказ </w:t>
      </w:r>
      <w:r>
        <w:rPr>
          <w:b w:val="1"/>
          <w:sz w:val="28"/>
        </w:rPr>
        <w:t>М</w:t>
      </w:r>
      <w:r>
        <w:rPr>
          <w:b w:val="1"/>
          <w:sz w:val="28"/>
        </w:rPr>
        <w:t>инистерства</w:t>
      </w:r>
      <w:r>
        <w:rPr>
          <w:b w:val="1"/>
          <w:sz w:val="28"/>
        </w:rPr>
        <w:t xml:space="preserve"> финансов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и бюджетного контроля</w:t>
      </w:r>
      <w:r>
        <w:rPr>
          <w:b w:val="1"/>
          <w:sz w:val="28"/>
        </w:rPr>
        <w:t xml:space="preserve"> Курской области от </w:t>
      </w:r>
      <w:r>
        <w:rPr>
          <w:b w:val="1"/>
          <w:sz w:val="28"/>
        </w:rPr>
        <w:t>30.01.2026</w:t>
      </w:r>
      <w:r>
        <w:rPr>
          <w:b w:val="1"/>
          <w:sz w:val="28"/>
        </w:rPr>
        <w:t xml:space="preserve"> № </w:t>
      </w:r>
      <w:r>
        <w:rPr>
          <w:b w:val="1"/>
          <w:sz w:val="28"/>
        </w:rPr>
        <w:t>9</w:t>
      </w:r>
      <w:r>
        <w:rPr>
          <w:b w:val="1"/>
          <w:sz w:val="28"/>
        </w:rPr>
        <w:t>н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b w:val="1"/>
          <w:sz w:val="28"/>
        </w:rPr>
        <w:t>«Об утверждении Порядка формирования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области»</w:t>
      </w:r>
    </w:p>
    <w:p w14:paraId="0F000000">
      <w:pPr>
        <w:rPr>
          <w:sz w:val="28"/>
        </w:rPr>
      </w:pPr>
    </w:p>
    <w:p w14:paraId="10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Порядке </w:t>
      </w:r>
      <w:r>
        <w:rPr>
          <w:sz w:val="28"/>
        </w:rPr>
        <w:t>формирования и применения кодов бюджетной классификации Российской Федерации в части, относящейся к областному бюджету и бюджету территориального фонда обязательного медицинского страхования Курской области, утвержденном указанным приказом:</w:t>
      </w:r>
    </w:p>
    <w:p w14:paraId="11000000">
      <w:pPr>
        <w:ind w:firstLine="709" w:left="0"/>
        <w:jc w:val="both"/>
        <w:rPr>
          <w:sz w:val="28"/>
        </w:rPr>
      </w:pPr>
      <w:r>
        <w:rPr>
          <w:sz w:val="28"/>
        </w:rPr>
        <w:t>1. </w:t>
      </w:r>
      <w:r>
        <w:rPr>
          <w:sz w:val="28"/>
        </w:rPr>
        <w:t xml:space="preserve">Подпункт </w:t>
      </w:r>
      <w:r>
        <w:rPr>
          <w:sz w:val="28"/>
        </w:rPr>
        <w:t xml:space="preserve">2.2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"consultantplus://offline/ref=6B1177946295A770973FC80A4F4F8C29F339656FE727FDA386A38C0592518CC96C6A465C18CC27CFF38388FDC5650FC03A4D3095DAB8AF067E8F69094Av0J"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пункта 2</w:t>
      </w:r>
      <w:r>
        <w:rPr>
          <w:sz w:val="28"/>
        </w:rPr>
        <w:fldChar w:fldCharType="end"/>
      </w:r>
      <w:r>
        <w:rPr>
          <w:sz w:val="28"/>
        </w:rPr>
        <w:t xml:space="preserve"> «Направления расходов»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"consultantplus://offline/ref=6B1177946295A770973FC80A4F4F8C29F339656FE727FDA386A38C0592518CC96C6A465C18CC27CFF38382FEC4650FC03A4D3095DAB8AF067E8F69094Av0J"</w:instrText>
      </w:r>
      <w:r>
        <w:rPr>
          <w:sz w:val="28"/>
        </w:rPr>
        <w:fldChar w:fldCharType="separate"/>
      </w:r>
      <w:r>
        <w:rPr>
          <w:sz w:val="28"/>
        </w:rPr>
        <w:t>раздела II</w:t>
      </w:r>
      <w:r>
        <w:rPr>
          <w:sz w:val="28"/>
        </w:rPr>
        <w:fldChar w:fldCharType="end"/>
      </w:r>
      <w:r>
        <w:rPr>
          <w:sz w:val="28"/>
        </w:rPr>
        <w:t xml:space="preserve"> «Классификация расходов областного </w:t>
      </w:r>
      <w:r>
        <w:rPr>
          <w:sz w:val="28"/>
        </w:rPr>
        <w:t xml:space="preserve">бюджета» </w:t>
      </w:r>
      <w:r>
        <w:rPr>
          <w:sz w:val="28"/>
        </w:rPr>
        <w:t xml:space="preserve">дополнить подпунктом </w:t>
      </w:r>
      <w:r>
        <w:rPr>
          <w:sz w:val="28"/>
        </w:rPr>
        <w:t>2.2.213</w:t>
      </w:r>
      <w:r>
        <w:rPr>
          <w:sz w:val="28"/>
          <w:vertAlign w:val="superscript"/>
        </w:rPr>
        <w:t>19</w:t>
      </w:r>
      <w:r>
        <w:rPr>
          <w:sz w:val="28"/>
        </w:rPr>
        <w:t xml:space="preserve"> </w:t>
      </w:r>
      <w:r>
        <w:rPr>
          <w:sz w:val="28"/>
        </w:rPr>
        <w:t>следующего содержания:</w:t>
      </w:r>
    </w:p>
    <w:p w14:paraId="12000000">
      <w:pPr>
        <w:ind w:firstLine="709" w:left="0"/>
        <w:jc w:val="both"/>
        <w:rPr>
          <w:sz w:val="28"/>
        </w:rPr>
      </w:pP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t>«</w:t>
      </w:r>
      <w:r>
        <w:rPr>
          <w:sz w:val="28"/>
        </w:rPr>
        <w:t>2.2.213</w:t>
      </w:r>
      <w:r>
        <w:rPr>
          <w:sz w:val="28"/>
          <w:vertAlign w:val="superscript"/>
        </w:rPr>
        <w:t>19</w:t>
      </w:r>
      <w:r>
        <w:rPr>
          <w:rStyle w:val="Style_3_ch"/>
          <w:color w:val="000000"/>
          <w:sz w:val="28"/>
        </w:rPr>
        <w:t xml:space="preserve">. </w:t>
      </w:r>
      <w:r>
        <w:rPr>
          <w:sz w:val="28"/>
        </w:rPr>
        <w:t>По направлению расходов «</w:t>
      </w:r>
      <w:r>
        <w:rPr>
          <w:sz w:val="28"/>
        </w:rPr>
        <w:t>12940</w:t>
      </w:r>
      <w:r>
        <w:rPr>
          <w:sz w:val="28"/>
        </w:rPr>
        <w:t xml:space="preserve"> Субсидии государственным унитарным предприятиям Курской области, на реализацию мер, направленных на проведение аварийно-восстановительных работ или капитального ремонта объектов теплоснабжения, пострадавших от действий вооруженных формирований Украины» отражаются расходы на предоставление субсидии государственным унитарным предприятиям Курской области, на реализацию мер, направленных на проведение аварийно-восстановительных работ или капитального ремонта объектов теплоснабжения, пострадавших </w:t>
      </w:r>
      <w:r>
        <w:rPr>
          <w:sz w:val="28"/>
        </w:rPr>
        <w:t>от действий вооруженных формирований Украины, в том</w:t>
      </w:r>
      <w:r>
        <w:rPr>
          <w:sz w:val="28"/>
        </w:rPr>
        <w:t xml:space="preserve"> числе источником финансового </w:t>
      </w:r>
      <w:r>
        <w:rPr>
          <w:sz w:val="28"/>
        </w:rPr>
        <w:t>обеспечения</w:t>
      </w:r>
      <w:r>
        <w:rPr>
          <w:sz w:val="28"/>
        </w:rPr>
        <w:t xml:space="preserve"> которых являются средства резервного фонда Правительства Курской области.»</w:t>
      </w:r>
      <w:r>
        <w:rPr>
          <w:rStyle w:val="Style_3_ch"/>
          <w:color w:val="000000"/>
          <w:sz w:val="28"/>
        </w:rPr>
        <w:t>;</w:t>
      </w:r>
    </w:p>
    <w:p w14:paraId="13000000">
      <w:pPr>
        <w:pStyle w:val="Style_2"/>
        <w:ind w:firstLine="709" w:left="0"/>
        <w:jc w:val="both"/>
      </w:pPr>
      <w:r>
        <w:t>2. В Пр</w:t>
      </w:r>
      <w:r>
        <w:t>иложении 1 к указанному Порядку</w:t>
      </w:r>
      <w:r>
        <w:t xml:space="preserve"> </w:t>
      </w:r>
      <w:r>
        <w:t xml:space="preserve">после </w:t>
      </w:r>
      <w:r>
        <w:t>строк</w:t>
      </w:r>
      <w:r>
        <w:t>и</w:t>
      </w:r>
      <w:r>
        <w:t>:</w:t>
      </w:r>
    </w:p>
    <w:tbl>
      <w:tblPr>
        <w:tblStyle w:val="Style_4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34"/>
        <w:gridCol w:w="7055"/>
      </w:tblGrid>
      <w:tr>
        <w:trPr>
          <w:trHeight w:hRule="atLeast" w:val="849"/>
        </w:trPr>
        <w:tc>
          <w:tcPr>
            <w:tcW w:type="dxa" w:w="2134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z w:val="28"/>
              </w:rPr>
              <w:t>84 1 00 12923</w:t>
            </w:r>
          </w:p>
        </w:tc>
        <w:tc>
          <w:tcPr>
            <w:tcW w:type="dxa" w:w="705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00000">
            <w:pPr>
              <w:ind w:right="135"/>
              <w:jc w:val="both"/>
              <w:rPr>
                <w:sz w:val="28"/>
              </w:rPr>
            </w:pPr>
            <w:r>
              <w:rPr>
                <w:sz w:val="28"/>
              </w:rPr>
              <w:t>Расходы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резервного фонда Правительства Курской области</w:t>
            </w:r>
            <w:r>
              <w:rPr>
                <w:sz w:val="28"/>
              </w:rPr>
              <w:t>»</w:t>
            </w:r>
          </w:p>
        </w:tc>
      </w:tr>
    </w:tbl>
    <w:p w14:paraId="16000000">
      <w:pPr>
        <w:pStyle w:val="Style_5"/>
        <w:ind w:firstLine="709" w:left="0" w:right="-1"/>
      </w:pPr>
      <w:r>
        <w:t>дополнить строкой</w:t>
      </w:r>
      <w:r>
        <w:t>:</w:t>
      </w:r>
    </w:p>
    <w:tbl>
      <w:tblPr>
        <w:tblStyle w:val="Style_4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27"/>
        <w:gridCol w:w="6945"/>
      </w:tblGrid>
      <w:tr>
        <w:trPr>
          <w:trHeight w:hRule="atLeast" w:val="181"/>
        </w:trPr>
        <w:tc>
          <w:tcPr>
            <w:tcW w:type="dxa" w:w="2127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z w:val="28"/>
              </w:rPr>
              <w:t>84 1 00 12940</w:t>
            </w:r>
          </w:p>
        </w:tc>
        <w:tc>
          <w:tcPr>
            <w:tcW w:type="dxa" w:w="6945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ind w:right="135"/>
              <w:jc w:val="both"/>
              <w:rPr>
                <w:sz w:val="28"/>
              </w:rPr>
            </w:pPr>
            <w:r>
              <w:rPr>
                <w:sz w:val="28"/>
              </w:rPr>
              <w:t>Субсидии государственным унитарным предприятиям Курской области, на реализацию мер, направленных на проведение аварийно-восстановительных работ или капитального ремонта объектов теплоснабжения, пострадавших от действий вооруженных формирований Украины</w:t>
            </w:r>
            <w:r>
              <w:rPr>
                <w:sz w:val="28"/>
              </w:rPr>
              <w:t>»</w:t>
            </w:r>
            <w:r>
              <w:rPr>
                <w:sz w:val="28"/>
              </w:rPr>
              <w:t>.</w:t>
            </w:r>
          </w:p>
        </w:tc>
      </w:tr>
    </w:tbl>
    <w:p w14:paraId="19000000">
      <w:pPr>
        <w:pStyle w:val="Style_2"/>
        <w:ind w:firstLine="709" w:left="0"/>
        <w:jc w:val="both"/>
      </w:pPr>
    </w:p>
    <w:sectPr>
      <w:headerReference r:id="rId1" w:type="default"/>
      <w:pgSz w:h="16838" w:orient="portrait" w:w="11906"/>
      <w:pgMar w:bottom="1134" w:footer="709" w:gutter="0" w:header="709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3" w:type="paragraph">
    <w:name w:val="Обычный1"/>
    <w:link w:val="Style_3_ch"/>
    <w:rPr>
      <w:sz w:val="24"/>
    </w:rPr>
  </w:style>
  <w:style w:styleId="Style_3_ch" w:type="character">
    <w:name w:val="Обычный1"/>
    <w:link w:val="Style_3"/>
    <w:rPr>
      <w:sz w:val="24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alloon Text"/>
    <w:basedOn w:val="Style_6"/>
    <w:link w:val="Style_9_ch"/>
    <w:rPr>
      <w:rFonts w:ascii="Tahoma" w:hAnsi="Tahoma"/>
      <w:sz w:val="16"/>
    </w:rPr>
  </w:style>
  <w:style w:styleId="Style_9_ch" w:type="character">
    <w:name w:val="Balloon Text"/>
    <w:basedOn w:val="Style_6_ch"/>
    <w:link w:val="Style_9"/>
    <w:rPr>
      <w:rFonts w:ascii="Tahoma" w:hAnsi="Tahoma"/>
      <w:sz w:val="16"/>
    </w:rPr>
  </w:style>
  <w:style w:styleId="Style_10" w:type="paragraph">
    <w:name w:val="Normal (Web)"/>
    <w:basedOn w:val="Style_6"/>
    <w:link w:val="Style_10_ch"/>
  </w:style>
  <w:style w:styleId="Style_10_ch" w:type="character">
    <w:name w:val="Normal (Web)"/>
    <w:basedOn w:val="Style_6_ch"/>
    <w:link w:val="Style_10"/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2" w:type="paragraph">
    <w:name w:val="ConsPlusNormal"/>
    <w:link w:val="Style_2_ch"/>
    <w:pPr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ConsPlusNormal"/>
    <w:link w:val="Style_2"/>
    <w:rPr>
      <w:rFonts w:ascii="Times New Roman" w:hAnsi="Times New Roman"/>
      <w:sz w:val="28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ConsPlusTitle"/>
    <w:link w:val="Style_14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4_ch" w:type="character">
    <w:name w:val="ConsPlusTitle"/>
    <w:link w:val="Style_14"/>
    <w:rPr>
      <w:rFonts w:ascii="Calibri" w:hAnsi="Calibri"/>
      <w:b w:val="1"/>
    </w:rPr>
  </w:style>
  <w:style w:styleId="Style_15" w:type="paragraph">
    <w:name w:val="msonormal_mr_css_attr"/>
    <w:basedOn w:val="Style_6"/>
    <w:link w:val="Style_15_ch"/>
    <w:pPr>
      <w:spacing w:afterAutospacing="on" w:beforeAutospacing="on"/>
      <w:ind/>
    </w:pPr>
  </w:style>
  <w:style w:styleId="Style_15_ch" w:type="character">
    <w:name w:val="msonormal_mr_css_attr"/>
    <w:basedOn w:val="Style_6_ch"/>
    <w:link w:val="Style_15"/>
  </w:style>
  <w:style w:styleId="Style_16" w:type="paragraph">
    <w:name w:val="highlightsearch"/>
    <w:basedOn w:val="Style_17"/>
    <w:link w:val="Style_16_ch"/>
  </w:style>
  <w:style w:styleId="Style_16_ch" w:type="character">
    <w:name w:val="highlightsearch"/>
    <w:basedOn w:val="Style_17_ch"/>
    <w:link w:val="Style_16"/>
  </w:style>
  <w:style w:styleId="Style_18" w:type="paragraph">
    <w:name w:val="No Spacing"/>
    <w:link w:val="Style_18_ch"/>
    <w:pPr>
      <w:spacing w:after="0" w:line="240" w:lineRule="auto"/>
      <w:ind/>
    </w:pPr>
    <w:rPr>
      <w:rFonts w:ascii="Times New Roman" w:hAnsi="Times New Roman"/>
      <w:sz w:val="28"/>
    </w:rPr>
  </w:style>
  <w:style w:styleId="Style_18_ch" w:type="character">
    <w:name w:val="No Spacing"/>
    <w:link w:val="Style_18"/>
    <w:rPr>
      <w:rFonts w:ascii="Times New Roman" w:hAnsi="Times New Roman"/>
      <w:sz w:val="28"/>
    </w:rPr>
  </w:style>
  <w:style w:styleId="Style_19" w:type="paragraph">
    <w:name w:val="ConsPlusTitlePage"/>
    <w:link w:val="Style_19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9_ch" w:type="character">
    <w:name w:val="ConsPlusTitlePage"/>
    <w:link w:val="Style_19"/>
    <w:rPr>
      <w:rFonts w:ascii="Tahoma" w:hAnsi="Tahoma"/>
      <w:sz w:val="20"/>
    </w:rPr>
  </w:style>
  <w:style w:styleId="Style_20" w:type="paragraph">
    <w:name w:val="toc 3"/>
    <w:next w:val="Style_6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s_1"/>
    <w:basedOn w:val="Style_6"/>
    <w:link w:val="Style_21_ch"/>
    <w:pPr>
      <w:spacing w:afterAutospacing="on" w:beforeAutospacing="on"/>
      <w:ind/>
    </w:pPr>
  </w:style>
  <w:style w:styleId="Style_21_ch" w:type="character">
    <w:name w:val="s_1"/>
    <w:basedOn w:val="Style_6_ch"/>
    <w:link w:val="Style_21"/>
  </w:style>
  <w:style w:styleId="Style_22" w:type="paragraph">
    <w:name w:val="footer"/>
    <w:basedOn w:val="Style_6"/>
    <w:link w:val="Style_22_ch"/>
    <w:pPr>
      <w:tabs>
        <w:tab w:leader="none" w:pos="4677" w:val="center"/>
        <w:tab w:leader="none" w:pos="9355" w:val="right"/>
      </w:tabs>
      <w:ind/>
    </w:pPr>
  </w:style>
  <w:style w:styleId="Style_22_ch" w:type="character">
    <w:name w:val="footer"/>
    <w:basedOn w:val="Style_6_ch"/>
    <w:link w:val="Style_22"/>
  </w:style>
  <w:style w:styleId="Style_23" w:type="paragraph">
    <w:name w:val="s_16"/>
    <w:basedOn w:val="Style_6"/>
    <w:link w:val="Style_23_ch"/>
    <w:pPr>
      <w:spacing w:afterAutospacing="on" w:beforeAutospacing="on"/>
      <w:ind/>
    </w:pPr>
  </w:style>
  <w:style w:styleId="Style_23_ch" w:type="character">
    <w:name w:val="s_16"/>
    <w:basedOn w:val="Style_6_ch"/>
    <w:link w:val="Style_23"/>
  </w:style>
  <w:style w:styleId="Style_24" w:type="paragraph">
    <w:name w:val="List Paragraph"/>
    <w:basedOn w:val="Style_6"/>
    <w:link w:val="Style_24_ch"/>
    <w:pPr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24_ch" w:type="character">
    <w:name w:val="List Paragraph"/>
    <w:basedOn w:val="Style_6_ch"/>
    <w:link w:val="Style_24"/>
    <w:rPr>
      <w:rFonts w:ascii="Calibri" w:hAnsi="Calibri"/>
      <w:sz w:val="22"/>
    </w:rPr>
  </w:style>
  <w:style w:styleId="Style_25" w:type="paragraph">
    <w:name w:val="Font Style12"/>
    <w:link w:val="Style_25_ch"/>
    <w:rPr>
      <w:rFonts w:ascii="Times New Roman" w:hAnsi="Times New Roman"/>
      <w:sz w:val="30"/>
    </w:rPr>
  </w:style>
  <w:style w:styleId="Style_25_ch" w:type="character">
    <w:name w:val="Font Style12"/>
    <w:link w:val="Style_25"/>
    <w:rPr>
      <w:rFonts w:ascii="Times New Roman" w:hAnsi="Times New Roman"/>
      <w:sz w:val="30"/>
    </w:rPr>
  </w:style>
  <w:style w:styleId="Style_26" w:type="paragraph">
    <w:name w:val="heading 5"/>
    <w:next w:val="Style_6"/>
    <w:link w:val="Style_2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7" w:type="paragraph">
    <w:name w:val="heading 1"/>
    <w:next w:val="Style_6"/>
    <w:link w:val="Style_2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5" w:type="paragraph">
    <w:name w:val="Body Text Indent"/>
    <w:basedOn w:val="Style_6"/>
    <w:link w:val="Style_5_ch"/>
    <w:pPr>
      <w:ind w:firstLine="851" w:left="0"/>
      <w:jc w:val="both"/>
    </w:pPr>
    <w:rPr>
      <w:sz w:val="28"/>
    </w:rPr>
  </w:style>
  <w:style w:styleId="Style_5_ch" w:type="character">
    <w:name w:val="Body Text Indent"/>
    <w:basedOn w:val="Style_6_ch"/>
    <w:link w:val="Style_5"/>
    <w:rPr>
      <w:sz w:val="28"/>
    </w:rPr>
  </w:style>
  <w:style w:styleId="Style_28" w:type="paragraph">
    <w:name w:val="Style4"/>
    <w:basedOn w:val="Style_6"/>
    <w:link w:val="Style_28_ch"/>
    <w:pPr>
      <w:widowControl w:val="0"/>
      <w:spacing w:line="546" w:lineRule="exact"/>
      <w:ind w:firstLine="552" w:left="0"/>
      <w:jc w:val="both"/>
    </w:pPr>
  </w:style>
  <w:style w:styleId="Style_28_ch" w:type="character">
    <w:name w:val="Style4"/>
    <w:basedOn w:val="Style_6_ch"/>
    <w:link w:val="Style_28"/>
  </w:style>
  <w:style w:styleId="Style_29" w:type="paragraph">
    <w:name w:val="Hyperlink"/>
    <w:basedOn w:val="Style_17"/>
    <w:link w:val="Style_29_ch"/>
    <w:rPr>
      <w:color w:val="0000FF"/>
      <w:u w:val="single"/>
    </w:rPr>
  </w:style>
  <w:style w:styleId="Style_29_ch" w:type="character">
    <w:name w:val="Hyperlink"/>
    <w:basedOn w:val="Style_17_ch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6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0"/>
    </w:rPr>
  </w:style>
  <w:style w:styleId="Style_32_ch" w:type="character">
    <w:name w:val="Header and Footer"/>
    <w:link w:val="Style_32"/>
    <w:rPr>
      <w:rFonts w:ascii="XO Thames" w:hAnsi="XO Thames"/>
      <w:sz w:val="20"/>
    </w:rPr>
  </w:style>
  <w:style w:styleId="Style_33" w:type="paragraph">
    <w:name w:val="ConsPlusNonformat"/>
    <w:link w:val="Style_33_ch"/>
    <w:pPr>
      <w:spacing w:after="0" w:line="240" w:lineRule="auto"/>
      <w:ind/>
    </w:pPr>
    <w:rPr>
      <w:rFonts w:ascii="Courier New" w:hAnsi="Courier New"/>
      <w:sz w:val="20"/>
    </w:rPr>
  </w:style>
  <w:style w:styleId="Style_33_ch" w:type="character">
    <w:name w:val="ConsPlusNonformat"/>
    <w:link w:val="Style_33"/>
    <w:rPr>
      <w:rFonts w:ascii="Courier New" w:hAnsi="Courier New"/>
      <w:sz w:val="20"/>
    </w:rPr>
  </w:style>
  <w:style w:styleId="Style_34" w:type="paragraph">
    <w:name w:val="toc 9"/>
    <w:next w:val="Style_6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toc 8"/>
    <w:next w:val="Style_6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36" w:type="paragraph">
    <w:name w:val="toc 5"/>
    <w:next w:val="Style_6"/>
    <w:link w:val="Style_3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Subtitle"/>
    <w:next w:val="Style_6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basedOn w:val="Style_6"/>
    <w:link w:val="Style_38_ch"/>
    <w:uiPriority w:val="10"/>
    <w:qFormat/>
    <w:pPr>
      <w:ind/>
      <w:jc w:val="center"/>
    </w:pPr>
    <w:rPr>
      <w:b w:val="1"/>
      <w:sz w:val="28"/>
    </w:rPr>
  </w:style>
  <w:style w:styleId="Style_38_ch" w:type="character">
    <w:name w:val="Title"/>
    <w:basedOn w:val="Style_6_ch"/>
    <w:link w:val="Style_38"/>
    <w:rPr>
      <w:b w:val="1"/>
      <w:sz w:val="28"/>
    </w:rPr>
  </w:style>
  <w:style w:styleId="Style_39" w:type="paragraph">
    <w:name w:val="heading 4"/>
    <w:next w:val="Style_6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next w:val="Style_6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table">
    <w:name w:val="Table Normal"/>
    <w:pPr>
      <w:widowControl w:val="0"/>
      <w:spacing w:after="0" w:line="240" w:lineRule="auto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2026-10-27T06:19:14Z</dcterms:modified>
</cp:coreProperties>
</file>